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宋体" w:hAnsi="宋体" w:eastAsia="宋体"/>
          <w:b/>
          <w:sz w:val="32"/>
        </w:rPr>
        <w:t>权利要求书</w:t>
      </w:r>
    </w:p>
    <w:p>
      <w:pPr>
        <w:spacing w:line="360" w:lineRule="auto"/>
      </w:pPr>
      <w:r>
        <w:rPr>
          <w:rFonts w:ascii="宋体" w:hAnsi="宋体" w:eastAsia="宋体"/>
          <w:b w:val="0"/>
          <w:sz w:val="24"/>
        </w:rPr>
        <w:t>1. 一种异构无人机多点运输与共享电池协同调度方法，其特征在于，由计算机执行以下步骤：</w:t>
        <w:br/>
        <w:t>S1，获取配送货箱的编号、目的服务点、质量、体积、期望交付时刻和硬截止时刻，获取航段数据、各机型的承载能力及航时和能耗参数，以及实体无人机与同型共享电池的库存及可用状态；</w:t>
        <w:br/>
        <w:t>S2，将配送货箱分配至运输架次并指定候选机型，形成候选架次集合，通过改变货箱所属架次或架次机型生成待评价的候选架次集合；</w:t>
        <w:br/>
        <w:t>S3，对所述待评价的候选架次集合中的运输架次，枚举服务点访问顺序，按照完成交付后剩余货箱的质量计算各航段载荷，重新计算航时、架次能耗及预计返航荷电状态，剔除不满足承载能力或返航电量要求的组合；</w:t>
        <w:br/>
        <w:t>S4，对所述待评价的候选架次集合，按照多种架次排程顺序分别从相同的资源初始可用状态建立资源时间轴，选择同型的实体无人机和共享电池确定架次开始时刻及逐箱交接完成时刻；依据所述架次能耗计算预计返航荷电状态和返航后充至满电的充电结束时刻，以所述充电结束时刻更新共享电池可用时刻并约束该电池的后续架次开始时刻，同时分别更新实体无人机和共享电池的占用区间；</w:t>
        <w:br/>
        <w:t>S5，筛除违反货箱唯一交付、硬截止、库存或资源占用约束的排程，对剩余排程按加权迟到量、运输完成时刻、运输总能耗和架次数的优先次序比较，确定各候选架次集合的评价结果，并据此在有限搜索过程中更新候选架次集合、维护可行方案档案；</w:t>
        <w:br/>
        <w:t>S6，从所述可行方案档案中选择方案，依据所选择方案的货箱分配、访问顺序及实体无人机和共享电池绑定记录，独立复算交付时刻、返航电量及资源占用区间，输出经复算满足约束且包含逐箱交付时刻、实体无人机及共享电池绑定关系的运输排程。</w:t>
      </w:r>
    </w:p>
    <w:p>
      <w:pPr>
        <w:spacing w:line="360" w:lineRule="auto"/>
      </w:pPr>
      <w:r>
        <w:rPr>
          <w:rFonts w:ascii="宋体" w:hAnsi="宋体" w:eastAsia="宋体"/>
          <w:b w:val="0"/>
          <w:sz w:val="24"/>
        </w:rPr>
        <w:t>2. 根据权利要求1所述的方法，其特征在于，所述航段数据根据调度中心、服务点坐标及数字高程模型生成；沿航段采样有效地形高程，以最高采样地形高程与巡航净空高度之和确定巡航海拔，结合节点作业高度计算爬升、巡航和下降航时；分别检查巡航净空以及起降和交接阶段的轨迹与地形相交情况，对数字高程模型越界、无数据或地形相交的航段不作为可行航段使用。</w:t>
      </w:r>
    </w:p>
    <w:p>
      <w:pPr>
        <w:spacing w:line="360" w:lineRule="auto"/>
      </w:pPr>
      <w:r>
        <w:rPr>
          <w:rFonts w:ascii="宋体" w:hAnsi="宋体" w:eastAsia="宋体"/>
          <w:b w:val="0"/>
          <w:sz w:val="24"/>
        </w:rPr>
        <w:t>3. 根据权利要求1所述的方法，其特征在于，所述运输架次的起飞载荷和总体积分别由其承运的全部配送货箱质量之和与体积之和确定；每完成一个服务点交付，扣除该服务点所交付货箱的质量，以所得剩余载荷计算下一航段能耗；航段能耗包括根据对应机型载荷相关等效航程计算的水平巡航能耗以及爬升附加能耗，全部交付后的返航航段按空载计算。</w:t>
      </w:r>
    </w:p>
    <w:p>
      <w:pPr>
        <w:spacing w:line="360" w:lineRule="auto"/>
      </w:pPr>
      <w:r>
        <w:rPr>
          <w:rFonts w:ascii="宋体" w:hAnsi="宋体" w:eastAsia="宋体"/>
          <w:b w:val="0"/>
          <w:sz w:val="24"/>
        </w:rPr>
        <w:t>4. 根据权利要求1所述的方法，其特征在于，所述多种架次排程顺序包括期望交付时刻优先、硬截止时刻优先和远距航段优先；每种架次排程顺序均重新分配实体无人机和共享电池、递推架次开始和返航时刻及电池充电结束时刻，使用独立的临时资源状态，取得完整排程后比较所述加权迟到量、运输完成时刻、运输总能耗和架次数。</w:t>
      </w:r>
    </w:p>
    <w:p>
      <w:pPr>
        <w:spacing w:line="360" w:lineRule="auto"/>
      </w:pPr>
      <w:r>
        <w:rPr>
          <w:rFonts w:ascii="宋体" w:hAnsi="宋体" w:eastAsia="宋体"/>
          <w:b w:val="0"/>
          <w:sz w:val="24"/>
        </w:rPr>
        <w:t>5. 根据权利要求1所述的方法，其特征在于，将实际交接完成时刻超过期望交付时刻的差值与对应货箱的非负优先权重相乘后求和，得到所述加权迟到量；将全部实体无人机完成其最后一个运输架次并返回调度中心的最晚时刻作为所述运输完成时刻；对满足全部硬约束的方案依次比较所述加权迟到量、运输完成时刻、运输总能耗和架次数，当前指标相同时再比较下一指标。</w:t>
      </w:r>
    </w:p>
    <w:p>
      <w:pPr>
        <w:spacing w:line="360" w:lineRule="auto"/>
      </w:pPr>
      <w:r>
        <w:rPr>
          <w:rFonts w:ascii="宋体" w:hAnsi="宋体" w:eastAsia="宋体"/>
          <w:b w:val="0"/>
          <w:sz w:val="24"/>
        </w:rPr>
        <w:t>6. 根据权利要求1所述的方法，其特征在于，共享电池在再次用于运输架次之前充至满电，其返航荷电状态根据起飞荷电状态与架次能耗相对于电池可用能量的比例确定；充电时长按荷电状态分阶段计算，0%至90%阶段占等效完全充电时长的65%，90%至100%阶段占35%，各阶段按尚需补充的荷电状态增量线性折算；同一电池的任务占用、充电和下一次任务占用区间采用半开区间表示且互不重叠。</w:t>
      </w:r>
    </w:p>
    <w:p>
      <w:pPr>
        <w:spacing w:line="360" w:lineRule="auto"/>
      </w:pPr>
      <w:r>
        <w:rPr>
          <w:rFonts w:ascii="宋体" w:hAnsi="宋体" w:eastAsia="宋体"/>
          <w:b w:val="0"/>
          <w:sz w:val="24"/>
        </w:rPr>
        <w:t>7. 根据权利要求1所述的方法，其特征在于，生成候选架次集合包括逐对合并运输架次，将两架次的货箱集合合并后重新计算访问顺序、逐航段能耗及整个架次集合的资源排程；对于满足全部硬约束的合并候选，以合并候选的加权迟到量不超过合并前方案加权迟到量的1.02倍作为合并筛选条件，再按加权迟到量、运输完成时刻和运输总能耗比较并选择合并候选。</w:t>
      </w:r>
    </w:p>
    <w:p>
      <w:pPr>
        <w:spacing w:line="360" w:lineRule="auto"/>
      </w:pPr>
      <w:r>
        <w:rPr>
          <w:rFonts w:ascii="宋体" w:hAnsi="宋体" w:eastAsia="宋体"/>
          <w:b w:val="0"/>
          <w:sz w:val="24"/>
        </w:rPr>
        <w:t>8. 根据权利要求1所述的方法，其特征在于，更新候选架次集合采用合并架次、拆分架次、跨架次移动货箱、跨架次交换货箱以及整架次变更机型的邻域操作；变更机型后重新检查该机型的承载能力、能耗和对应无人机及电池库存；候选架次集合受配置的架次数上限约束，超过上限的候选不作为可行方案进入所述可行方案档案。</w:t>
      </w:r>
    </w:p>
    <w:p>
      <w:pPr>
        <w:spacing w:line="360" w:lineRule="auto"/>
      </w:pPr>
      <w:r>
        <w:rPr>
          <w:rFonts w:ascii="宋体" w:hAnsi="宋体" w:eastAsia="宋体"/>
          <w:b w:val="0"/>
          <w:sz w:val="24"/>
        </w:rPr>
        <w:t>9. 根据权利要求1所述的方法，其特征在于，所述有限搜索采用模拟退火，根据加权迟到量、运输完成时刻和运输总能耗构成的辅助标量计算候选状态转移的接受概率，并按照降温参数更新温度；用于状态转移的辅助标量与用于最终方案选择的指标优先次序分别处理，对已经评价且符合档案筛选条件的候选更新所述可行方案档案，不以该候选是否被接受为当前搜索状态作为唯一存储条件；采用有限搜索预算或无有效候选的停止条件结束搜索。</w:t>
      </w:r>
    </w:p>
    <w:p>
      <w:pPr>
        <w:spacing w:line="360" w:lineRule="auto"/>
      </w:pPr>
      <w:r>
        <w:rPr>
          <w:rFonts w:ascii="宋体" w:hAnsi="宋体" w:eastAsia="宋体"/>
          <w:b w:val="0"/>
          <w:sz w:val="24"/>
        </w:rPr>
        <w:t>10. 根据权利要求1所述的方法，其特征在于，所述独立复算以任务属性、航段数据和设备参数为计算输入，从最终输出记录重新确定各货箱的交接完成时刻、各架次逐航段载荷和能耗、返航荷电状态及共享电池充电完成时刻，并检查整箱唯一交付、载重与容积、地形可行性、硬截止、实体无人机及共享电池库存、同一资源区间不重叠以及电池充电完成时刻不晚于其下一次任务开始时刻，使用复算所得数值判定所选择方案是否满足约束。</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