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A1966" w14:textId="0790E4D8" w:rsidR="000F2601" w:rsidRDefault="007C0695" w:rsidP="007C0695">
      <w:pPr>
        <w:jc w:val="center"/>
      </w:pPr>
      <w:r>
        <w:t>EIA activity 1</w:t>
      </w:r>
    </w:p>
    <w:p w14:paraId="5CA7EB0A" w14:textId="39824797" w:rsidR="00EA52DC" w:rsidRDefault="00EA52DC" w:rsidP="00EA52DC"/>
    <w:p w14:paraId="0F351243" w14:textId="77777777" w:rsidR="00EA52DC" w:rsidRDefault="00EA52DC" w:rsidP="00EA52DC">
      <w:pPr>
        <w:pStyle w:val="Default"/>
      </w:pPr>
    </w:p>
    <w:p w14:paraId="020A4187" w14:textId="77777777" w:rsidR="00EA52DC" w:rsidRDefault="00EA52DC" w:rsidP="00EA52DC">
      <w:pPr>
        <w:pStyle w:val="Default"/>
      </w:pPr>
      <w:r>
        <w:t xml:space="preserve"> </w:t>
      </w:r>
    </w:p>
    <w:p w14:paraId="5E807976" w14:textId="1CBDF5AF" w:rsidR="00EA52DC" w:rsidRDefault="00714E11" w:rsidP="00EA52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13.</w:t>
      </w:r>
      <w:r w:rsidR="00EA52DC">
        <w:rPr>
          <w:sz w:val="22"/>
          <w:szCs w:val="22"/>
        </w:rPr>
        <w:t xml:space="preserve">What are the direct effects of EMF exposure on the human reproductive outcome (100 kHz – 300 GHz)? Are the studies conclusive? (G6 – G41 – G27 – G14) </w:t>
      </w:r>
    </w:p>
    <w:p w14:paraId="106AD6A3" w14:textId="3495B63F" w:rsidR="00873BE8" w:rsidRPr="00B11F0F" w:rsidRDefault="004941B1" w:rsidP="004941B1">
      <w:pPr>
        <w:rPr>
          <w:rFonts w:cstheme="minorHAnsi"/>
          <w:b/>
          <w:bCs/>
        </w:rPr>
      </w:pPr>
      <w:r w:rsidRPr="00B11F0F">
        <w:rPr>
          <w:rFonts w:cstheme="minorHAnsi"/>
          <w:b/>
          <w:bCs/>
        </w:rPr>
        <w:t xml:space="preserve">The effect of EMF exposure on reproductive function differs according to frequency and wave, strength (energy), and duration of </w:t>
      </w:r>
      <w:proofErr w:type="spellStart"/>
      <w:proofErr w:type="gramStart"/>
      <w:r w:rsidRPr="00B11F0F">
        <w:rPr>
          <w:rFonts w:cstheme="minorHAnsi"/>
          <w:b/>
          <w:bCs/>
        </w:rPr>
        <w:t>exposure.</w:t>
      </w:r>
      <w:r w:rsidR="000F1F1C" w:rsidRPr="00B11F0F">
        <w:rPr>
          <w:rFonts w:cstheme="minorHAnsi"/>
          <w:b/>
          <w:bCs/>
        </w:rPr>
        <w:t>Reproductive</w:t>
      </w:r>
      <w:proofErr w:type="spellEnd"/>
      <w:proofErr w:type="gramEnd"/>
      <w:r w:rsidR="000F1F1C" w:rsidRPr="00B11F0F">
        <w:rPr>
          <w:rFonts w:cstheme="minorHAnsi"/>
          <w:b/>
          <w:bCs/>
        </w:rPr>
        <w:t xml:space="preserve"> parameters reported to be altered by EMF exposure include male germ cell death, the estrous cycle, reproductive endocrine hormones, reproductive organ weights, sperm motility, early embryonic development, and pregnancy success</w:t>
      </w:r>
      <w:r w:rsidRPr="00B11F0F">
        <w:rPr>
          <w:rFonts w:cstheme="minorHAnsi"/>
          <w:b/>
          <w:bCs/>
        </w:rPr>
        <w:t>.</w:t>
      </w:r>
    </w:p>
    <w:p w14:paraId="6E7D5A56" w14:textId="06F086FF" w:rsidR="00B11F0F" w:rsidRPr="00B11F0F" w:rsidRDefault="00B11F0F" w:rsidP="00B11F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11F0F">
        <w:rPr>
          <w:rFonts w:cstheme="minorHAnsi"/>
          <w:b/>
          <w:bCs/>
        </w:rPr>
        <w:t xml:space="preserve">During labor </w:t>
      </w:r>
      <w:r w:rsidRPr="00B11F0F">
        <w:rPr>
          <w:rFonts w:cstheme="minorHAnsi"/>
          <w:b/>
          <w:bCs/>
          <w:lang w:bidi="ar-EG"/>
        </w:rPr>
        <w:t>no evidence was found for harmful effects on the fetus</w:t>
      </w:r>
      <w:r w:rsidRPr="00B11F0F">
        <w:rPr>
          <w:rFonts w:cstheme="minorHAnsi"/>
          <w:b/>
          <w:bCs/>
          <w:lang w:bidi="ar-EG"/>
        </w:rPr>
        <w:t xml:space="preserve"> for women </w:t>
      </w:r>
      <w:r w:rsidRPr="00B11F0F">
        <w:rPr>
          <w:rFonts w:cstheme="minorHAnsi"/>
          <w:b/>
          <w:bCs/>
          <w:lang w:bidi="ar-EG"/>
        </w:rPr>
        <w:t>treated with microwave diathermy</w:t>
      </w:r>
      <w:r w:rsidRPr="00B11F0F">
        <w:rPr>
          <w:rFonts w:cstheme="minorHAnsi"/>
          <w:b/>
          <w:bCs/>
          <w:lang w:bidi="ar-EG"/>
        </w:rPr>
        <w:t xml:space="preserve"> however during pregnancy it is different as </w:t>
      </w:r>
      <w:proofErr w:type="gramStart"/>
      <w:r w:rsidRPr="00B11F0F">
        <w:rPr>
          <w:rFonts w:cstheme="minorHAnsi"/>
          <w:b/>
          <w:bCs/>
          <w:lang w:bidi="ar-EG"/>
        </w:rPr>
        <w:t>women ,some</w:t>
      </w:r>
      <w:proofErr w:type="gramEnd"/>
      <w:r w:rsidRPr="00B11F0F">
        <w:rPr>
          <w:rFonts w:cstheme="minorHAnsi"/>
          <w:b/>
          <w:bCs/>
          <w:lang w:bidi="ar-EG"/>
        </w:rPr>
        <w:t xml:space="preserve"> of tests were deemed positive and others were deemed negative </w:t>
      </w:r>
      <w:r w:rsidRPr="00B11F0F">
        <w:rPr>
          <w:rFonts w:cstheme="minorHAnsi"/>
          <w:b/>
          <w:bCs/>
        </w:rPr>
        <w:t xml:space="preserve"> like </w:t>
      </w:r>
      <w:r w:rsidRPr="00B11F0F">
        <w:rPr>
          <w:rFonts w:cstheme="minorHAnsi"/>
          <w:b/>
          <w:bCs/>
        </w:rPr>
        <w:t>In some of the larger</w:t>
      </w:r>
      <w:r w:rsidRPr="00B11F0F">
        <w:rPr>
          <w:rFonts w:cstheme="minorHAnsi"/>
          <w:b/>
          <w:bCs/>
        </w:rPr>
        <w:t xml:space="preserve"> </w:t>
      </w:r>
      <w:r w:rsidRPr="00B11F0F">
        <w:rPr>
          <w:rFonts w:cstheme="minorHAnsi"/>
          <w:b/>
          <w:bCs/>
        </w:rPr>
        <w:t>epidemiological studies of female plastic welders and</w:t>
      </w:r>
      <w:r w:rsidRPr="00B11F0F">
        <w:rPr>
          <w:rFonts w:cstheme="minorHAnsi"/>
          <w:b/>
          <w:bCs/>
        </w:rPr>
        <w:t xml:space="preserve"> </w:t>
      </w:r>
      <w:r w:rsidRPr="00B11F0F">
        <w:rPr>
          <w:rFonts w:cstheme="minorHAnsi"/>
          <w:b/>
          <w:bCs/>
        </w:rPr>
        <w:t>physiotherapists working with shortwave diathermy devices,</w:t>
      </w:r>
      <w:r w:rsidRPr="00B11F0F">
        <w:rPr>
          <w:rFonts w:cstheme="minorHAnsi"/>
          <w:b/>
          <w:bCs/>
        </w:rPr>
        <w:t xml:space="preserve"> </w:t>
      </w:r>
      <w:r w:rsidRPr="00B11F0F">
        <w:rPr>
          <w:rFonts w:cstheme="minorHAnsi"/>
          <w:b/>
          <w:bCs/>
        </w:rPr>
        <w:t>there were no statistically significant effects on</w:t>
      </w:r>
      <w:r w:rsidRPr="00B11F0F">
        <w:rPr>
          <w:rFonts w:cstheme="minorHAnsi"/>
          <w:b/>
          <w:bCs/>
        </w:rPr>
        <w:t xml:space="preserve"> </w:t>
      </w:r>
      <w:r w:rsidRPr="00B11F0F">
        <w:rPr>
          <w:rFonts w:cstheme="minorHAnsi"/>
          <w:b/>
          <w:bCs/>
        </w:rPr>
        <w:t>rates of abortion or fetal malformation</w:t>
      </w:r>
    </w:p>
    <w:p w14:paraId="32976E98" w14:textId="737CFF01" w:rsidR="00714E11" w:rsidRPr="00B11F0F" w:rsidRDefault="00B11F0F" w:rsidP="00EA52DC">
      <w:pPr>
        <w:rPr>
          <w:rFonts w:cstheme="minorHAnsi"/>
          <w:b/>
          <w:bCs/>
          <w:lang w:bidi="ar-EG"/>
        </w:rPr>
      </w:pPr>
      <w:r w:rsidRPr="00B11F0F">
        <w:rPr>
          <w:rFonts w:cstheme="minorHAnsi"/>
          <w:b/>
          <w:bCs/>
          <w:lang w:bidi="ar-EG"/>
        </w:rPr>
        <w:t xml:space="preserve">As for males </w:t>
      </w:r>
      <w:r w:rsidRPr="00B11F0F">
        <w:rPr>
          <w:rStyle w:val="hgkelc"/>
          <w:rFonts w:cstheme="minorHAnsi"/>
          <w:b/>
          <w:bCs/>
        </w:rPr>
        <w:t>It induced decreases in serum levels of testosterone, sperm count, motility, morphometric abnormalities, and significant increases in serum luteinizing hormone level, lipid peroxidation, and DNA damage in sperm cells</w:t>
      </w:r>
    </w:p>
    <w:p w14:paraId="4401C185" w14:textId="564C922A" w:rsidR="00714E11" w:rsidRPr="00B11F0F" w:rsidRDefault="00714E11" w:rsidP="00B11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14E11">
        <w:rPr>
          <w:rFonts w:ascii="Calibri" w:hAnsi="Calibri" w:cs="Calibri"/>
          <w:color w:val="000000"/>
        </w:rPr>
        <w:t xml:space="preserve">22. What are the SAR limits as basic restrictions according to Canada Safety Code 6? (G15 – G6 – G12) </w:t>
      </w:r>
    </w:p>
    <w:p w14:paraId="46219A58" w14:textId="77777777" w:rsidR="00F7303E" w:rsidRPr="00B11F0F" w:rsidRDefault="00F7303E" w:rsidP="00F7303E">
      <w:pPr>
        <w:rPr>
          <w:rFonts w:cstheme="minorHAnsi"/>
          <w:b/>
          <w:bCs/>
          <w:lang w:bidi="ar-EG"/>
        </w:rPr>
      </w:pPr>
      <w:r w:rsidRPr="00B11F0F">
        <w:rPr>
          <w:rFonts w:cstheme="minorHAnsi"/>
          <w:b/>
          <w:bCs/>
          <w:lang w:bidi="ar-EG"/>
        </w:rPr>
        <w:t xml:space="preserve">Any devices that have a radiating element normally operating at or below 6 </w:t>
      </w:r>
      <w:proofErr w:type="spellStart"/>
      <w:r w:rsidRPr="00B11F0F">
        <w:rPr>
          <w:rFonts w:cstheme="minorHAnsi"/>
          <w:b/>
          <w:bCs/>
          <w:lang w:bidi="ar-EG"/>
        </w:rPr>
        <w:t>Ghz</w:t>
      </w:r>
      <w:proofErr w:type="spellEnd"/>
      <w:r w:rsidRPr="00B11F0F">
        <w:rPr>
          <w:rFonts w:cstheme="minorHAnsi"/>
          <w:b/>
          <w:bCs/>
          <w:lang w:bidi="ar-EG"/>
        </w:rPr>
        <w:t xml:space="preserve"> with a separation distance up to 20 cm should undergo a </w:t>
      </w:r>
      <w:proofErr w:type="spellStart"/>
      <w:r w:rsidRPr="00B11F0F">
        <w:rPr>
          <w:rFonts w:cstheme="minorHAnsi"/>
          <w:b/>
          <w:bCs/>
          <w:lang w:bidi="ar-EG"/>
        </w:rPr>
        <w:t>sar</w:t>
      </w:r>
      <w:proofErr w:type="spellEnd"/>
      <w:r w:rsidRPr="00B11F0F">
        <w:rPr>
          <w:rFonts w:cstheme="minorHAnsi"/>
          <w:b/>
          <w:bCs/>
          <w:lang w:bidi="ar-EG"/>
        </w:rPr>
        <w:t xml:space="preserve"> </w:t>
      </w:r>
      <w:proofErr w:type="gramStart"/>
      <w:r w:rsidRPr="00B11F0F">
        <w:rPr>
          <w:rFonts w:cstheme="minorHAnsi"/>
          <w:b/>
          <w:bCs/>
          <w:lang w:bidi="ar-EG"/>
        </w:rPr>
        <w:t>evaluation ,</w:t>
      </w:r>
      <w:proofErr w:type="gramEnd"/>
      <w:r w:rsidRPr="00B11F0F">
        <w:rPr>
          <w:rFonts w:cstheme="minorHAnsi"/>
          <w:b/>
          <w:bCs/>
          <w:lang w:bidi="ar-EG"/>
        </w:rPr>
        <w:t xml:space="preserve"> any other devices that operates above 6 </w:t>
      </w:r>
      <w:proofErr w:type="spellStart"/>
      <w:r w:rsidRPr="00B11F0F">
        <w:rPr>
          <w:rFonts w:cstheme="minorHAnsi"/>
          <w:b/>
          <w:bCs/>
          <w:lang w:bidi="ar-EG"/>
        </w:rPr>
        <w:t>Ghz</w:t>
      </w:r>
      <w:proofErr w:type="spellEnd"/>
      <w:r w:rsidRPr="00B11F0F">
        <w:rPr>
          <w:rFonts w:cstheme="minorHAnsi"/>
          <w:b/>
          <w:bCs/>
          <w:lang w:bidi="ar-EG"/>
        </w:rPr>
        <w:t xml:space="preserve"> or with a separation distance greater than 20 cm should undergo an rf evaluation, also </w:t>
      </w:r>
      <w:proofErr w:type="spellStart"/>
      <w:r w:rsidRPr="00B11F0F">
        <w:rPr>
          <w:rFonts w:cstheme="minorHAnsi"/>
          <w:b/>
          <w:bCs/>
          <w:lang w:bidi="ar-EG"/>
        </w:rPr>
        <w:t>sar</w:t>
      </w:r>
      <w:proofErr w:type="spellEnd"/>
      <w:r w:rsidRPr="00B11F0F">
        <w:rPr>
          <w:rFonts w:cstheme="minorHAnsi"/>
          <w:b/>
          <w:bCs/>
          <w:lang w:bidi="ar-EG"/>
        </w:rPr>
        <w:t xml:space="preserve"> limits differs for different part of the body and for different types of environment  as for example:</w:t>
      </w:r>
    </w:p>
    <w:p w14:paraId="122AF5AB" w14:textId="77777777" w:rsidR="00F7303E" w:rsidRPr="00B11F0F" w:rsidRDefault="00F7303E" w:rsidP="00F7303E">
      <w:pPr>
        <w:pStyle w:val="Pa2"/>
        <w:spacing w:after="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11F0F">
        <w:rPr>
          <w:rFonts w:asciiTheme="minorHAnsi" w:hAnsiTheme="minorHAnsi" w:cstheme="minorHAnsi"/>
          <w:b/>
          <w:bCs/>
          <w:sz w:val="22"/>
          <w:szCs w:val="22"/>
          <w:lang w:bidi="ar-EG"/>
        </w:rPr>
        <w:t>1-sar limits for</w:t>
      </w:r>
      <w:r w:rsidRPr="00B11F0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the head, neck and trunk, averaged over any one gram (g) of tissue is 8 for controlled environment and 1.6 for uncontrolled environment.</w:t>
      </w:r>
    </w:p>
    <w:p w14:paraId="151F507B" w14:textId="77777777" w:rsidR="00F7303E" w:rsidRPr="00B11F0F" w:rsidRDefault="00F7303E" w:rsidP="00F7303E">
      <w:pPr>
        <w:pStyle w:val="Pa2"/>
        <w:spacing w:after="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2-sar </w:t>
      </w:r>
      <w:proofErr w:type="gramStart"/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limits  </w:t>
      </w:r>
      <w:r w:rsidRPr="00B11F0F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proofErr w:type="gramEnd"/>
      <w:r w:rsidRPr="00B11F0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the limbs as averaged over any 10 g of tissue  is 20 for controlled environment and 4 for uncontrolled environment </w:t>
      </w:r>
    </w:p>
    <w:p w14:paraId="6D5F2A5D" w14:textId="77777777" w:rsidR="00F7303E" w:rsidRPr="00B11F0F" w:rsidRDefault="00F7303E" w:rsidP="00F7303E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Alas the average </w:t>
      </w:r>
      <w:proofErr w:type="spellStart"/>
      <w:r w:rsidRPr="00B11F0F">
        <w:rPr>
          <w:rFonts w:asciiTheme="minorHAnsi" w:hAnsiTheme="minorHAnsi" w:cstheme="minorHAnsi"/>
          <w:b/>
          <w:bCs/>
          <w:sz w:val="22"/>
          <w:szCs w:val="22"/>
        </w:rPr>
        <w:t>sar</w:t>
      </w:r>
      <w:proofErr w:type="spellEnd"/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 limit over the whole body and the recommended limitation </w:t>
      </w:r>
      <w:proofErr w:type="gramStart"/>
      <w:r w:rsidRPr="00B11F0F">
        <w:rPr>
          <w:rFonts w:asciiTheme="minorHAnsi" w:hAnsiTheme="minorHAnsi" w:cstheme="minorHAnsi"/>
          <w:b/>
          <w:bCs/>
          <w:sz w:val="22"/>
          <w:szCs w:val="22"/>
        </w:rPr>
        <w:t>is  0.4</w:t>
      </w:r>
      <w:proofErr w:type="gramEnd"/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 for controlled and 0.2 for uncontrolled .</w:t>
      </w:r>
    </w:p>
    <w:p w14:paraId="76E92E03" w14:textId="77777777" w:rsidR="00F7303E" w:rsidRPr="00B11F0F" w:rsidRDefault="00F7303E" w:rsidP="00F7303E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There are some provision needs to be taken in a </w:t>
      </w:r>
      <w:proofErr w:type="spellStart"/>
      <w:r w:rsidRPr="00B11F0F">
        <w:rPr>
          <w:rFonts w:asciiTheme="minorHAnsi" w:hAnsiTheme="minorHAnsi" w:cstheme="minorHAnsi"/>
          <w:b/>
          <w:bCs/>
          <w:sz w:val="22"/>
          <w:szCs w:val="22"/>
        </w:rPr>
        <w:t>sar</w:t>
      </w:r>
      <w:proofErr w:type="spellEnd"/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B11F0F">
        <w:rPr>
          <w:rFonts w:asciiTheme="minorHAnsi" w:hAnsiTheme="minorHAnsi" w:cstheme="minorHAnsi"/>
          <w:b/>
          <w:bCs/>
          <w:sz w:val="22"/>
          <w:szCs w:val="22"/>
        </w:rPr>
        <w:t>evaluation  such</w:t>
      </w:r>
      <w:proofErr w:type="gramEnd"/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 as :</w:t>
      </w:r>
    </w:p>
    <w:p w14:paraId="6A972F95" w14:textId="77777777" w:rsidR="00F7303E" w:rsidRPr="00B11F0F" w:rsidRDefault="00F7303E" w:rsidP="00F7303E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If a device has push-to-talk capability a minimum duty cycle of 50% </w:t>
      </w:r>
      <w:r w:rsidRPr="00B11F0F">
        <w:rPr>
          <w:rStyle w:val="nowrap"/>
          <w:rFonts w:asciiTheme="minorHAnsi" w:hAnsiTheme="minorHAnsi" w:cstheme="minorHAnsi"/>
          <w:b/>
          <w:bCs/>
          <w:sz w:val="22"/>
          <w:szCs w:val="22"/>
        </w:rPr>
        <w:t>(on-time)</w:t>
      </w:r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 shall be used in the evaluation as for those without this capability the cycle should be evaluated based on the </w:t>
      </w:r>
      <w:proofErr w:type="spellStart"/>
      <w:r w:rsidRPr="00B11F0F">
        <w:rPr>
          <w:rFonts w:asciiTheme="minorHAnsi" w:hAnsiTheme="minorHAnsi" w:cstheme="minorHAnsi"/>
          <w:b/>
          <w:bCs/>
          <w:sz w:val="22"/>
          <w:szCs w:val="22"/>
        </w:rPr>
        <w:t>designed</w:t>
      </w:r>
      <w:proofErr w:type="spellEnd"/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 of the phone.</w:t>
      </w:r>
    </w:p>
    <w:p w14:paraId="45096921" w14:textId="77777777" w:rsidR="00F7303E" w:rsidRPr="00B11F0F" w:rsidRDefault="00F7303E" w:rsidP="00F7303E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The power output of channels need to be tested if it is more than 0.5 </w:t>
      </w:r>
      <w:proofErr w:type="spellStart"/>
      <w:r w:rsidRPr="00B11F0F">
        <w:rPr>
          <w:rFonts w:asciiTheme="minorHAnsi" w:hAnsiTheme="minorHAnsi" w:cstheme="minorHAnsi"/>
          <w:b/>
          <w:bCs/>
          <w:sz w:val="22"/>
          <w:szCs w:val="22"/>
        </w:rPr>
        <w:t>db</w:t>
      </w:r>
      <w:proofErr w:type="spellEnd"/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 of the middle </w:t>
      </w:r>
      <w:proofErr w:type="gramStart"/>
      <w:r w:rsidRPr="00B11F0F">
        <w:rPr>
          <w:rFonts w:asciiTheme="minorHAnsi" w:hAnsiTheme="minorHAnsi" w:cstheme="minorHAnsi"/>
          <w:b/>
          <w:bCs/>
          <w:sz w:val="22"/>
          <w:szCs w:val="22"/>
        </w:rPr>
        <w:t>channel ,</w:t>
      </w:r>
      <w:proofErr w:type="gramEnd"/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 then the highest power output should be recorded</w:t>
      </w:r>
    </w:p>
    <w:p w14:paraId="1512F673" w14:textId="77777777" w:rsidR="00F7303E" w:rsidRPr="00B11F0F" w:rsidRDefault="00F7303E" w:rsidP="00F7303E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B11F0F">
        <w:rPr>
          <w:rFonts w:asciiTheme="minorHAnsi" w:hAnsiTheme="minorHAnsi" w:cstheme="minorHAnsi"/>
          <w:b/>
          <w:bCs/>
          <w:sz w:val="22"/>
          <w:szCs w:val="22"/>
        </w:rPr>
        <w:t xml:space="preserve"> Reference:</w:t>
      </w:r>
    </w:p>
    <w:p w14:paraId="13855CFE" w14:textId="77777777" w:rsidR="00F7303E" w:rsidRPr="00B11F0F" w:rsidRDefault="00B11F0F" w:rsidP="00F7303E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hyperlink r:id="rId5" w:anchor="s3.1" w:history="1">
        <w:r w:rsidR="00F7303E" w:rsidRPr="00B11F0F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https://www.ic.gc.ca/eic/site/smt-gst.nsf/eng/sf01904.html#s3.1</w:t>
        </w:r>
      </w:hyperlink>
    </w:p>
    <w:p w14:paraId="7E4D2D20" w14:textId="77777777" w:rsidR="00F7303E" w:rsidRPr="00B11F0F" w:rsidRDefault="00F7303E" w:rsidP="00F7303E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B11F0F">
        <w:rPr>
          <w:rFonts w:asciiTheme="minorHAnsi" w:hAnsiTheme="minorHAnsi" w:cstheme="minorHAnsi"/>
          <w:b/>
          <w:bCs/>
          <w:sz w:val="22"/>
          <w:szCs w:val="22"/>
        </w:rPr>
        <w:t>Canada safety code 2009 page 11.</w:t>
      </w:r>
    </w:p>
    <w:p w14:paraId="71C90EF2" w14:textId="77777777" w:rsidR="00F7303E" w:rsidRPr="00B11F0F" w:rsidRDefault="00F7303E" w:rsidP="00F7303E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549A0C23" w14:textId="77777777" w:rsidR="00714E11" w:rsidRDefault="00714E11" w:rsidP="00EA52DC">
      <w:pPr>
        <w:rPr>
          <w:lang w:bidi="ar-EG"/>
        </w:rPr>
      </w:pPr>
    </w:p>
    <w:sectPr w:rsidR="0071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65B03"/>
    <w:multiLevelType w:val="hybridMultilevel"/>
    <w:tmpl w:val="F8C8D702"/>
    <w:lvl w:ilvl="0" w:tplc="F46C7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CE"/>
    <w:rsid w:val="000F1F1C"/>
    <w:rsid w:val="000F2601"/>
    <w:rsid w:val="004941B1"/>
    <w:rsid w:val="00714E11"/>
    <w:rsid w:val="007C0695"/>
    <w:rsid w:val="00873BE8"/>
    <w:rsid w:val="00B11F0F"/>
    <w:rsid w:val="00BF3CB3"/>
    <w:rsid w:val="00CE5393"/>
    <w:rsid w:val="00DD00CE"/>
    <w:rsid w:val="00EA52DC"/>
    <w:rsid w:val="00F7303E"/>
    <w:rsid w:val="00F8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A343"/>
  <w15:chartTrackingRefBased/>
  <w15:docId w15:val="{4CE11A70-83EA-46D9-896E-F19FBCB6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2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F7303E"/>
    <w:pPr>
      <w:spacing w:line="241" w:lineRule="atLeast"/>
    </w:pPr>
    <w:rPr>
      <w:rFonts w:ascii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F7303E"/>
    <w:rPr>
      <w:color w:val="0000FF"/>
      <w:u w:val="single"/>
    </w:rPr>
  </w:style>
  <w:style w:type="character" w:customStyle="1" w:styleId="nowrap">
    <w:name w:val="nowrap"/>
    <w:basedOn w:val="DefaultParagraphFont"/>
    <w:rsid w:val="00F7303E"/>
  </w:style>
  <w:style w:type="character" w:customStyle="1" w:styleId="hgkelc">
    <w:name w:val="hgkelc"/>
    <w:basedOn w:val="DefaultParagraphFont"/>
    <w:rsid w:val="00B11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c.gc.ca/eic/site/smt-gst.nsf/eng/sf0190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Safwat</dc:creator>
  <cp:keywords/>
  <dc:description/>
  <cp:lastModifiedBy>mina hanna</cp:lastModifiedBy>
  <cp:revision>10</cp:revision>
  <dcterms:created xsi:type="dcterms:W3CDTF">2021-04-03T20:51:00Z</dcterms:created>
  <dcterms:modified xsi:type="dcterms:W3CDTF">2021-04-06T15:24:00Z</dcterms:modified>
</cp:coreProperties>
</file>