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ESTUDO DIRIGIDO 01 — Análise argumentativa</w:t>
      </w:r>
    </w:p>
    <w:p>
      <w:pPr>
        <w:jc w:val="center"/>
      </w:pPr>
      <w:r>
        <w:t>Disciplina: Aprendizagem de Máquina</w:t>
        <w:br/>
      </w:r>
      <w:r>
        <w:t>Tema 4: Alucinações em modelos de linguagem e confiabilidade</w:t>
        <w:br/>
      </w:r>
      <w:r>
        <w:t>Autores: Lucas Müller Scuzziato e Davi Emannoel Lopes de Souza</w:t>
        <w:br/>
      </w:r>
    </w:p>
    <w:p>
      <w:pPr>
        <w:pStyle w:val="Heading1"/>
      </w:pPr>
      <w:r>
        <w:t>2. Tese do grupo</w:t>
      </w:r>
    </w:p>
    <w:p>
      <w:r>
        <w:t>Defende-se que modelos de linguagem não são apropriados como fonte autônoma em decisões jurídicas que exigem alto grau de precisão factual — em especial a identificação, citação e interpretação de precedentes e dispositivos normativos. Nesses contextos, LLMs são adequados apenas como assistentes de produtividade, desde que haja verificação humana independente e rastreável de cada afirmação factual relevante antes de qualquer uso perante o juízo, o cliente ou terceiros.</w:t>
      </w:r>
    </w:p>
    <w:p>
      <w:r>
        <w:t>Os motivos principais são três. Primeiro, a alucinação permanece mensurável mesmo em benchmarks acadêmicos e em produtos especializados de pesquisa jurídica. Segundo, o dano processual de uma citação falsa é assimétrico: barato de gerar automaticamente e caro de desfazer perante o juízo. Terceiro, as próprias orientações éticas da advocacia norte-americana (ABA Formal Opinion 512, 2024) e a jurisprudência sancionadora recente autorizam o uso da ferramenta, mas não a substituição do dever de checagem. Em uma frase: a tecnologia pode entrar no fluxo de trabalho; a responsabilidade factual permanece humana.</w:t>
      </w:r>
    </w:p>
    <w:p>
      <w:pPr>
        <w:pStyle w:val="Heading1"/>
      </w:pPr>
      <w:r>
        <w:t>3. Argumentação principal</w:t>
      </w:r>
    </w:p>
    <w:p>
      <w:pPr>
        <w:pStyle w:val="Heading2"/>
      </w:pPr>
      <w:r>
        <w:t>3.1 Evidência empírica: a alucinação não desaparece com “IA jurídica”</w:t>
      </w:r>
    </w:p>
    <w:p>
      <w:r>
        <w:t>O primeiro argumento é factual-técnico. O benchmark HALoGEN (ACL 2025) avaliou cerca de 150 mil gerações de 14 modelos em múltiplos domínios e concluiu que mesmo os melhores sistemas ainda produzem alucinações em escala relevante — em certos domínios, chegando a proporções muito elevadas dos fatos atômicos gerados (Ravichander et al., 2025). Não se trata, portanto, de um defeito residual de modelos antigos: o fenômeno é estrutural o bastante para merecer medição sistemática. HALoGEN ainda classifica erros segundo origem plausível (má recuperação do treino, conhecimento incorreto no treino ou fabricação), o que reforça que “alucinar” não é um rótulo único, e sim uma família de falhas com consequências práticas distintas.</w:t>
      </w:r>
    </w:p>
    <w:p>
      <w:r>
        <w:t>Mais próximo do direito, Magesh et al. (2025), em estudo pré-registrado publicado no Journal of Empirical Legal Studies, avaliaram ferramentas comerciais de pesquisa jurídica com RAG (incluindo produtos da LexisNexis e da Thomson Reuters) e verificaram que essas ferramentas ainda alucinam entre aproximadamente 17% e 33% das consultas analisadas. O resultado é especialmente importante porque contradiz marketing de soluções “sem alucinação” ou com citações “garantidas”: o RAG reduz o problema em relação a chatbots genéricos, mas não o elimina. Se mesmo sistemas desenhados para o direito erram nessa faixa, utilizá-los como fonte autônoma de precedentes é incompatível com o padrão de precisão exigido em peça processual.</w:t>
      </w:r>
    </w:p>
    <w:p>
      <w:r>
        <w:t>Leaderboards de consistência factual em sumarização, como o mantido pela Vectara (atualizações públicas em 2025–2026), mostram que taxas de alucinação variam conforme modelo e protocolo — frequentemente na casa de poucos pontos percentuais em tarefas de resumo grounded, e mais altas em modelos ou configurações menos favoráveis. Esses números não devem ser lidos como “taxa universal da IA”; devem ser lidos como evidência de que a falha factual é mensurável, variável e não nula. Em direito, uma taxa “baixa” ainda é inaceitável se o erro for uma jurisprudência inventada protocolada sem verificação. A lição metodológica é a mesma em todos esses estudos: falar de confiabilidade exige falar de tarefa, protocolo e domínio — e o domínio jurídico é particularmente intolerante a fabricação de autoridade.</w:t>
      </w:r>
    </w:p>
    <w:p>
      <w:pPr>
        <w:pStyle w:val="Heading2"/>
      </w:pPr>
      <w:r>
        <w:t>3.2 Evidência institucional: o 9º Circuito (2026) e o dever de verificação</w:t>
      </w:r>
    </w:p>
    <w:p>
      <w:r>
        <w:t>O segundo argumento é institucional e recente. Em 3 de junho de 2026, o United States Court of Appeals for the Ninth Circuit sancionou os advogados Mike Singh Sethi e William Rounds por apresentarem memoriais com múltiplos casos inexistentes, citações mal atribuídas e distorções graves de precedentes reais, bem como por falta de candura ao tratar da origem dos erros (Malkeet LNU, ordem disciplinar de 3 jun. 2026). As sanções incluíram multa de US$ 2.500 para cada advogado, suspensão de seis meses para atuar perante aquele tribunal e obrigação de divulgar o uso de IA em petições por dois anos. A corte enfatizou que não estava punindo o mero uso de inteligência artificial generativa: as regras processuais e éticas são violadas no momento em que o advogado assina e protocola conteúdo falso, independentemente de a fabricação ter saído de um modelo ou de erro humano.</w:t>
      </w:r>
    </w:p>
    <w:p>
      <w:r>
        <w:t>Esse caso cumpre o requisito de exemplo concreto dos últimos doze meses e ilustra a assimetria de risco da tese. A geração automática barateia a produção de texto “com cara de jurisprudência”; a correção consome tempo do juízo e da parte adversária e pode gerar sanção disciplinar. A cobertura da ABA Journal sobre a decisão destaca, ainda, que a falta de transparência — negar a origem dos erros e só depois admitir uso não autorizado de IA por redatores — agravou o desfecho. Em outras palavras, o problema não termina no clique que gera o texto; continua no silêncio que impede a correção rápida.</w:t>
      </w:r>
    </w:p>
    <w:p>
      <w:r>
        <w:t>O precedente histórico Mata v. Avianca (2023) já tinha sinalizado o mesmo dever de gatekeeping, com multa conjunta de US$ 5.000 naquele episódio inaugural amplamente reportado. A decisão de 2026 mostra que o problema persiste três anos depois e que os tribunais estão dispostos a endurecer a resposta quando há reincidência de falta de candura. Em conjunto com Magesh et al. (2025), o quadro é coerente: a ferramenta pode errar; o profissional que não verifica transforma erro técnico em ilícito processual.</w:t>
      </w:r>
    </w:p>
    <w:p>
      <w:pPr>
        <w:pStyle w:val="Heading1"/>
      </w:pPr>
      <w:r>
        <w:t>4. Contra-argumentação</w:t>
      </w:r>
    </w:p>
    <w:p>
      <w:r>
        <w:t>A posição contrária mais consistente afirma que é apropriado empregar LLMs também em tarefas de alta precisão factual, desde que se usem modelos atualizados, ferramentas jurídicas especializadas e boas práticas profissionais. Em favor dessa visão, a American Bar Association, na Formal Opinion 512 (29 jul. 2024), reconhece que a IA generativa pode auxiliar o exercício da advocacia e não proíbe seu uso. A opinião exige, contudo, competência tecnológica, proteção da confidencialidade, comunicação adequada e — de modo central — grau apropriado de verificação ou revisão independente do resultado, proporcional à ferramenta e à tarefa. Em suma: a posição favorável não é “confie no modelo”; é “use o modelo, mas continue sendo advogado”.</w:t>
      </w:r>
    </w:p>
    <w:p>
      <w:r>
        <w:t>Há, ainda, um segundo fio nessa posição contrária: a ideia de que a evolução técnica (modelos maiores, RAG, leaderboards de factualidade) tornaria o risco residual aceitável. De fato, rankings como o da Vectara documentam diferenças reais entre sistemas em tarefas de sumarização grounded, o que sugere que escolher ferramenta importa. Esse ponto deve ser reconhecido: não é indiferente usar um modelo qualquer ou uma ferramenta jurídica com recuperação de documentos.</w:t>
      </w:r>
    </w:p>
    <w:p>
      <w:r>
        <w:t>Responde-se a esse contra-argumento reconhecendo seu núcleo correto e delimitando sua extensão. Concorda-se que o uso assistido é legítimo e, em muitos fluxos, desejável (organização de rascunhos, exploração preliminar de temas, sumarização com checagem posterior). Concorda-se também que melhores modelos e RAG reduzem — em alguns protocolos — a frequência do erro. Discorda-se da inferência de que autorização ética ou melhora de benchmarks tornem o modelo fonte autônoma de fatos jurídicos. A Opinion 512, lida com rigor, reforça a tese deste trabalho: o padrão profissional continua sendo a verificação humana. O estudo de Magesh et al. (2025) mostra que nem o RAG comercial remove o risco a níveis desprezíveis no próprio domínio do direito. E o 9º Circuito (2026) deixa explícito que o ponto crítico é o protocolo de assinatura e candura — não a existência da tecnologia. Assim, a limitação real da tese restritiva é prática, não conceitual: a verificação consome tempo e pode reduzir parte do ganho de produtividade. Essa limitação deve ser aceita quando o custo do erro factual for processualmente alto.</w:t>
      </w:r>
    </w:p>
    <w:p>
      <w:pPr>
        <w:pStyle w:val="Heading1"/>
      </w:pPr>
      <w:r>
        <w:t>5. Síntese crítica</w:t>
      </w:r>
    </w:p>
    <w:p>
      <w:r>
        <w:t>A questão norteadora pergunta em que medida é apropriado usar modelos de linguagem em decisões que exigem alta precisão factual. No recorte jurídico adotado neste estudo dirigido, a resposta é: apropriado como assistência; inadequado como autoridade factual autônoma. A adequação não decorre do marketing do produto nem da fluência do texto, e sim da existência de um circuito de verificação humana capaz de confirmar cada citação e cada afirmação normativa antes do uso externo. Essa conclusão articula o dado empírico (HALoGEN; Magesh et al.; Vectara), a orientação profissional (Opinion 512) e a sanção institucional recente (9º Circuito, 2026).</w:t>
      </w:r>
    </w:p>
    <w:p>
      <w:r>
        <w:t>As implicações práticas são diretas. Escritórios e estudantes de direito que adotarem LLMs deveriam tratar citações geradas como hipóteses a checar em bases oficiais (tribunais, repositórios, legislação consolidada), nunca como resultado final. Um protocolo mínimo inclui: (i) abrir a fonte citada; (ii) confirmar se o trecho sustenta a tese; (iii) registrar quem verificou. Ferramentas com RAG podem entrar no fluxo, mas sem a ilusão de “zero alucinação”. Orientação ética do tipo da Opinion 512 e decisões como a do 9º Circuito apontam na mesma direção: transparência, revisão e responsabilidade profissional.</w:t>
      </w:r>
    </w:p>
    <w:p>
      <w:r>
        <w:t>Olhando adiante, o campo tende a combinar melhores detectores e leaderboards de factualidade com regras processuais mais explícitas de disclosure de uso de IA. Nenhuma dessas camadas, porém, substitui o dever de ler o que se cita. Em síntese crítica, o avanço útil não é banir o modelo, nem sacralizá-lo. É redesenhar o fluxo de trabalho jurídico para que a velocidade da geração automática conviva com o padrão clássico de precisão do direito — um padrão que a alucinação, por definição, ameaça sempre que a verificação humana for omitida.</w:t>
      </w:r>
    </w:p>
    <w:p>
      <w:pPr>
        <w:pStyle w:val="Heading1"/>
      </w:pPr>
      <w:r>
        <w:t>Referências (citadas no texto)</w:t>
      </w:r>
    </w:p>
    <w:p>
      <w:r>
        <w:t>AMERICAN BAR ASSOCIATION. Standing Committee on Ethics and Professional Responsibility. Formal Opinion 512: Generative Artificial Intelligence Tools. 29 jul. 2024. Disponível em: https://www.americanbar.org/content/dam/aba/administrative/professional_responsibility/ethics-opinions/aba-formal-opinion-512.pdf. Acesso em: 14 set. 2026.</w:t>
      </w:r>
    </w:p>
    <w:p>
      <w:r>
        <w:t>ABA JOURNAL. Attorneys’ lack of candor over AI errors leads to stricter sanctions. 2026. Disponível em: https://www.abajournal.com/news/article/attorneys-lack-of-candor-over-ai-errors-leads-to-stricter-sanctions. Acesso em: 14 set. 2026.</w:t>
      </w:r>
    </w:p>
    <w:p>
      <w:r>
        <w:t>MAGESH, Varun et al. Hallucination-Free? Assessing the Reliability of Leading AI Legal Research Tools. Journal of Empirical Legal Studies, 2025. DOI: https://doi.org/10.1111/jels.12413. PDF: https://dho.stanford.edu/wp-content/uploads/Legal_RAG_Hallucinations.pdf.</w:t>
      </w:r>
    </w:p>
    <w:p>
      <w:r>
        <w:t>RAVICHANDER, Abhilasha et al. HALoGEN: Fantastic LLM Hallucinations and Where to Find Them. In: Proceedings of the 63rd ACL, 2025, p. 1402–1425. DOI: 10.18653/v1/2025.acl-long.71. Disponível em: https://aclanthology.org/2025.acl-long.71/.</w:t>
      </w:r>
    </w:p>
    <w:p>
      <w:r>
        <w:t>UNITED STATES COURT OF APPEALS FOR THE NINTH CIRCUIT. Malkeet LNU; ordem disciplinar envolvendo Mike Singh Sethi e William Rounds. 3 jun. 2026. Disponível em: https://cdn.ca9.uscourts.gov/datastore/opinions/2026/06/03/24-4790.pdf. Acesso em: 14 set. 2026.</w:t>
      </w:r>
    </w:p>
    <w:p>
      <w:r>
        <w:t>UNITED STATES DISTRICT COURT, S.D.N.Y. Mata v. Avianca, Inc., Opinion and Order on Sanctions, 22 jun. 2023. Disponível em: https://www.nhd.uscourts.gov/sites/default/files/pdf/Mata-v-Avianca-sanctions-order.PDF.</w:t>
      </w:r>
    </w:p>
    <w:p>
      <w:r>
        <w:t>VECTARA. Hallucination Leaderboard (repositório público, atualizações 2025–2026). Disponível em: https://github.com/vectara/hallucination-leaderboard. Acesso em: 14 set. 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lumusPC</dc:creator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