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color w:val="1F3864"/>
          <w:sz w:val="36"/>
          <w:szCs w:val="36"/>
        </w:rPr>
        <w:t xml:space="preserve">GitSyntropy: Mining Developer Chronotypes and Behavioral Profiles</w:t>
      </w:r>
      <w:r>
        <w:rPr>
          <w:rFonts w:ascii="Times New Roman" w:cs="Times New Roman" w:eastAsia="Times New Roman" w:hAnsi="Times New Roman"/>
          <w:b/>
          <w:bCs/>
          <w:color w:val="1F3864"/>
          <w:sz w:val="36"/>
          <w:szCs w:val="36"/>
        </w:rPr>
        <w:br/>
        <w:t xml:space="preserve"> for Software Team Compatibility Prediction</w:t>
      </w:r>
    </w:p>
    <w:p>
      <w:pPr>
        <w:spacing w:after="20" w:before="60"/>
        <w:jc w:val="center"/>
      </w:pPr>
      <w:r>
        <w:rPr>
          <w:rFonts w:ascii="Times New Roman" w:cs="Times New Roman" w:eastAsia="Times New Roman" w:hAnsi="Times New Roman"/>
          <w:b/>
          <w:bCs/>
          <w:sz w:val="22"/>
          <w:szCs w:val="22"/>
        </w:rPr>
        <w:t xml:space="preserve">Atharv Khare</w:t>
      </w:r>
    </w:p>
    <w:p>
      <w:pPr>
        <w:spacing w:after="20" w:before="0"/>
        <w:jc w:val="center"/>
      </w:pPr>
      <w:r>
        <w:rPr>
          <w:rFonts w:ascii="Times New Roman" w:cs="Times New Roman" w:eastAsia="Times New Roman" w:hAnsi="Times New Roman"/>
          <w:i/>
          <w:iCs/>
          <w:color w:val="595959"/>
          <w:sz w:val="20"/>
          <w:szCs w:val="20"/>
        </w:rPr>
        <w:t xml:space="preserve">Department of Data Science and Artificial Intelligence</w:t>
      </w:r>
    </w:p>
    <w:p>
      <w:pPr>
        <w:spacing w:after="20" w:before="0"/>
        <w:jc w:val="center"/>
      </w:pPr>
      <w:r>
        <w:rPr>
          <w:rFonts w:ascii="Times New Roman" w:cs="Times New Roman" w:eastAsia="Times New Roman" w:hAnsi="Times New Roman"/>
          <w:i/>
          <w:iCs/>
          <w:color w:val="595959"/>
          <w:sz w:val="20"/>
          <w:szCs w:val="20"/>
        </w:rPr>
        <w:t xml:space="preserve">Indian Institute of Technology Madras, Chennai, India</w:t>
      </w:r>
    </w:p>
    <w:p>
      <w:pPr>
        <w:spacing w:after="300" w:before="0"/>
        <w:jc w:val="center"/>
      </w:pPr>
      <w:r>
        <w:rPr>
          <w:rFonts w:ascii="Times New Roman" w:cs="Times New Roman" w:eastAsia="Times New Roman" w:hAnsi="Times New Roman"/>
          <w:color w:val="2E5496"/>
          <w:sz w:val="20"/>
          <w:szCs w:val="20"/>
        </w:rPr>
        <w:t xml:space="preserve">atharv@ds.study.iitm.ac.in</w:t>
      </w:r>
    </w:p>
    <w:p>
      <w:pPr>
        <w:pBdr>
          <w:bottom w:val="single" w:color="2E5496" w:sz="8" w:space="1"/>
        </w:pBdr>
        <w:spacing w:after="0" w:before="0"/>
      </w:pPr>
    </w:p>
    <w:p>
      <w:pPr>
        <w:spacing w:after="60" w:before="160"/>
      </w:pPr>
      <w:r>
        <w:rPr>
          <w:rFonts w:ascii="Times New Roman" w:cs="Times New Roman" w:eastAsia="Times New Roman" w:hAnsi="Times New Roman"/>
          <w:b/>
          <w:bCs/>
          <w:i/>
          <w:iCs/>
          <w:color w:val="1F3864"/>
          <w:sz w:val="20"/>
          <w:szCs w:val="20"/>
        </w:rPr>
        <w:t xml:space="preserve">Abstract</w:t>
      </w:r>
    </w:p>
    <w:p>
      <w:pPr>
        <w:spacing w:after="100" w:before="0" w:line="264" w:lineRule="auto"/>
        <w:jc w:val="both"/>
      </w:pPr>
      <w:r>
        <w:rPr>
          <w:rFonts w:ascii="Times New Roman" w:cs="Times New Roman" w:eastAsia="Times New Roman" w:hAnsi="Times New Roman"/>
          <w:sz w:val="20"/>
          <w:szCs w:val="20"/>
        </w:rPr>
        <w:t xml:space="preserve">Software team formation relies predominantly on technical skill matching, neglecting the behavioral dimensions—chronotype alignment, conflict-resolution style, and decision-making patterns—that empirical research associates with team effectiveness. We present </w:t>
      </w:r>
      <w:r>
        <w:rPr>
          <w:rFonts w:ascii="Times New Roman" w:cs="Times New Roman" w:eastAsia="Times New Roman" w:hAnsi="Times New Roman"/>
          <w:i/>
          <w:iCs/>
          <w:sz w:val="20"/>
          <w:szCs w:val="20"/>
        </w:rPr>
        <w:t xml:space="preserve">GitSyntropy</w:t>
      </w:r>
      <w:r>
        <w:rPr>
          <w:rFonts w:ascii="Times New Roman" w:cs="Times New Roman" w:eastAsia="Times New Roman" w:hAnsi="Times New Roman"/>
          <w:sz w:val="20"/>
          <w:szCs w:val="20"/>
        </w:rPr>
        <w:t xml:space="preserve">, a system that combines passively collected GitHub commit history with an adaptive eight-question psychometric assessment to produce a multi-dimensional pairwise compatibility score for software developers. Our key algorithmic contribution is a </w:t>
      </w:r>
      <w:r>
        <w:rPr>
          <w:rFonts w:ascii="Times New Roman" w:cs="Times New Roman" w:eastAsia="Times New Roman" w:hAnsi="Times New Roman"/>
          <w:b/>
          <w:bCs/>
          <w:sz w:val="20"/>
          <w:szCs w:val="20"/>
        </w:rPr>
        <w:t xml:space="preserve">circular-coordinate K-Means</w:t>
      </w:r>
      <w:r>
        <w:rPr>
          <w:rFonts w:ascii="Times New Roman" w:cs="Times New Roman" w:eastAsia="Times New Roman" w:hAnsi="Times New Roman"/>
          <w:sz w:val="20"/>
          <w:szCs w:val="20"/>
        </w:rPr>
        <w:t xml:space="preserve"> method for chronotype detection from version control timestamps. By projecting each commit hour h onto the unit circle as (cos(2πh/24), sin(2πh/24)) before clustering, the algorithm correctly handles the midnight discontinuity that invalidates linear-histogram baselines. Compatibility is aggregated across eight weighted behavioral dimensions (total: 36 points) and a Monte Carlo simulation with 1,000 iterations identifies the candidate behavioral profile that most improves an existing team. Evaluated on </w:t>
      </w:r>
      <w:r>
        <w:rPr>
          <w:rFonts w:ascii="Times New Roman" w:cs="Times New Roman" w:eastAsia="Times New Roman" w:hAnsi="Times New Roman"/>
          <w:b/>
          <w:bCs/>
          <w:color w:val="C00000"/>
          <w:sz w:val="20"/>
          <w:szCs w:val="20"/>
        </w:rPr>
        <w:t xml:space="preserve">[N] </w:t>
      </w:r>
      <w:r>
        <w:rPr>
          <w:rFonts w:ascii="Times New Roman" w:cs="Times New Roman" w:eastAsia="Times New Roman" w:hAnsi="Times New Roman"/>
          <w:sz w:val="20"/>
          <w:szCs w:val="20"/>
        </w:rPr>
        <w:t xml:space="preserve">public GitHub profiles validated against self-report Morningness-Eveningness Questionnaire (MEQ) ground truth, the chronotype detector achieves F</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w:t>
      </w:r>
      <w:r>
        <w:rPr>
          <w:rFonts w:ascii="Times New Roman" w:cs="Times New Roman" w:eastAsia="Times New Roman" w:hAnsi="Times New Roman"/>
          <w:b/>
          <w:bCs/>
          <w:color w:val="C00000"/>
          <w:sz w:val="20"/>
          <w:szCs w:val="20"/>
        </w:rPr>
        <w:t xml:space="preserve">[X.XX]</w:t>
      </w:r>
      <w:r>
        <w:rPr>
          <w:rFonts w:ascii="Times New Roman" w:cs="Times New Roman" w:eastAsia="Times New Roman" w:hAnsi="Times New Roman"/>
          <w:sz w:val="20"/>
          <w:szCs w:val="20"/>
        </w:rPr>
        <w:t xml:space="preserve"> (κ = </w:t>
      </w:r>
      <w:r>
        <w:rPr>
          <w:rFonts w:ascii="Times New Roman" w:cs="Times New Roman" w:eastAsia="Times New Roman" w:hAnsi="Times New Roman"/>
          <w:b/>
          <w:bCs/>
          <w:color w:val="C00000"/>
          <w:sz w:val="20"/>
          <w:szCs w:val="20"/>
        </w:rPr>
        <w:t xml:space="preserve">[X.XX]</w:t>
      </w:r>
      <w:r>
        <w:rPr>
          <w:rFonts w:ascii="Times New Roman" w:cs="Times New Roman" w:eastAsia="Times New Roman" w:hAnsi="Times New Roman"/>
          <w:sz w:val="20"/>
          <w:szCs w:val="20"/>
        </w:rPr>
        <w:t xml:space="preserve">), outperforming linear-space histogram and K-Means baselines. The full system is available at https://github.com/1mystic/GitSyntropy.</w:t>
      </w:r>
    </w:p>
    <w:p>
      <w:pPr>
        <w:spacing w:after="200" w:before="60"/>
        <w:jc w:val="both"/>
      </w:pPr>
      <w:r>
        <w:rPr>
          <w:rFonts w:ascii="Times New Roman" w:cs="Times New Roman" w:eastAsia="Times New Roman" w:hAnsi="Times New Roman"/>
          <w:b/>
          <w:bCs/>
          <w:sz w:val="20"/>
          <w:szCs w:val="20"/>
        </w:rPr>
        <w:t xml:space="preserve">Keywords — </w:t>
      </w:r>
      <w:r>
        <w:rPr>
          <w:rFonts w:ascii="Times New Roman" w:cs="Times New Roman" w:eastAsia="Times New Roman" w:hAnsi="Times New Roman"/>
          <w:i/>
          <w:iCs/>
          <w:sz w:val="20"/>
          <w:szCs w:val="20"/>
        </w:rPr>
        <w:t xml:space="preserve">software team formation, mining software repositories, chronotype detection, circular statistics, psychometric assessment, compatibility scoring, behavioral telemetry, developer productivity</w:t>
      </w:r>
    </w:p>
    <w:p>
      <w:pPr>
        <w:pBdr>
          <w:bottom w:val="single" w:color="2E5496" w:sz="8" w:space="1"/>
        </w:pBdr>
        <w:spacing w:after="0" w:before="0"/>
      </w:pPr>
    </w:p>
    <w:p>
      <w:pPr>
        <w:pBdr>
          <w:bottom w:val="single" w:color="2E5496" w:sz="8" w:space="1"/>
        </w:pBdr>
        <w:spacing w:after="0" w:before="0"/>
      </w:pPr>
    </w:p>
    <w:p>
      <w:pPr>
        <w:pStyle w:val="Heading1"/>
        <w:spacing w:after="80" w:before="260"/>
      </w:pPr>
      <w:r>
        <w:rPr>
          <w:rFonts w:ascii="Times New Roman" w:cs="Times New Roman" w:eastAsia="Times New Roman" w:hAnsi="Times New Roman"/>
          <w:b/>
          <w:bCs/>
          <w:color w:val="1F3864"/>
          <w:sz w:val="22"/>
          <w:szCs w:val="22"/>
        </w:rPr>
        <w:t xml:space="preserve">I.  INTRODUCTION</w:t>
      </w:r>
    </w:p>
    <w:p>
      <w:pPr>
        <w:spacing w:after="100" w:before="0" w:line="276" w:lineRule="auto"/>
        <w:jc w:val="both"/>
      </w:pPr>
      <w:r>
        <w:rPr>
          <w:rFonts w:ascii="Times New Roman" w:cs="Times New Roman" w:eastAsia="Times New Roman" w:hAnsi="Times New Roman"/>
          <w:sz w:val="20"/>
          <w:szCs w:val="20"/>
        </w:rPr>
        <w:t xml:space="preserve">Software engineering is an inherently collaborative endeavor. Yet the dominant toolchain for team composition—résumé screening, technical interviews, and gut instinct—treats developers as interchangeable units of technical skill. The behavioral dimensions that determine whether a team operates smoothly—when members work, how they handle conflict, and how they make decisions under uncertainty—are rarely measured and almost never systematically matched during hiring or team assembly.</w:t>
      </w:r>
    </w:p>
    <w:p>
      <w:pPr>
        <w:spacing w:after="100" w:before="0" w:line="276" w:lineRule="auto"/>
        <w:jc w:val="both"/>
      </w:pPr>
      <w:r>
        <w:rPr>
          <w:rFonts w:ascii="Times New Roman" w:cs="Times New Roman" w:eastAsia="Times New Roman" w:hAnsi="Times New Roman"/>
          <w:sz w:val="20"/>
          <w:szCs w:val="20"/>
        </w:rPr>
        <w:t xml:space="preserve">Prior empirical work confirms that non-technical composition matters substantially. Choi and Thompson [1] found that behavioral diversity affected team adaptability more than technical diversity. Acuña et al. [2] demonstrated that personality-based assignments outperformed random assignment on software quality metrics. A 2023 data-driven study of 31 student engineering teams using the Five-Factor Model found that extraversion and conscientiousness were the strongest predictors of team performance, with a gradient-boosted model achieving 74% accuracy in predicting inter-member satisfaction [3].</w:t>
      </w:r>
    </w:p>
    <w:p>
      <w:pPr>
        <w:spacing w:after="100" w:before="0" w:line="276" w:lineRule="auto"/>
        <w:jc w:val="both"/>
      </w:pPr>
      <w:r>
        <w:rPr>
          <w:rFonts w:ascii="Times New Roman" w:cs="Times New Roman" w:eastAsia="Times New Roman" w:hAnsi="Times New Roman"/>
          <w:sz w:val="20"/>
          <w:szCs w:val="20"/>
        </w:rPr>
        <w:t xml:space="preserve">Despite this evidence, the tooling available to engineering managers remains primitive. Traditional psychometric instruments such as MBTI or DISC require manual administration, are susceptible to social-desirability bias, and produce static profiles that ignore the temporal rhythms of knowledge work. Meanwhile, version control systems such as GitHub accumulate rich behavioral telemetry—commit timestamps that reveal </w:t>
      </w:r>
      <w:r>
        <w:rPr>
          <w:rFonts w:ascii="Times New Roman" w:cs="Times New Roman" w:eastAsia="Times New Roman" w:hAnsi="Times New Roman"/>
          <w:i/>
          <w:iCs/>
          <w:sz w:val="20"/>
          <w:szCs w:val="20"/>
        </w:rPr>
        <w:t xml:space="preserve">when</w:t>
      </w:r>
      <w:r>
        <w:rPr>
          <w:rFonts w:ascii="Times New Roman" w:cs="Times New Roman" w:eastAsia="Times New Roman" w:hAnsi="Times New Roman"/>
          <w:sz w:val="20"/>
          <w:szCs w:val="20"/>
        </w:rPr>
        <w:t xml:space="preserve"> a developer works, with precision sufficient to distinguish early-morning larks from late-night owls—that is almost entirely unused for team-formation decisions.</w:t>
      </w:r>
    </w:p>
    <w:p>
      <w:pPr>
        <w:spacing w:after="100" w:before="0" w:line="276" w:lineRule="auto"/>
        <w:jc w:val="both"/>
      </w:pPr>
      <w:r>
        <w:rPr>
          <w:rFonts w:ascii="Times New Roman" w:cs="Times New Roman" w:eastAsia="Times New Roman" w:hAnsi="Times New Roman"/>
          <w:sz w:val="20"/>
          <w:szCs w:val="20"/>
        </w:rPr>
        <w:t xml:space="preserve">We present </w:t>
      </w:r>
      <w:r>
        <w:rPr>
          <w:rFonts w:ascii="Times New Roman" w:cs="Times New Roman" w:eastAsia="Times New Roman" w:hAnsi="Times New Roman"/>
          <w:b/>
          <w:bCs/>
          <w:sz w:val="20"/>
          <w:szCs w:val="20"/>
        </w:rPr>
        <w:t xml:space="preserve">GitSyntropy</w:t>
      </w:r>
      <w:r>
        <w:rPr>
          <w:rFonts w:ascii="Times New Roman" w:cs="Times New Roman" w:eastAsia="Times New Roman" w:hAnsi="Times New Roman"/>
          <w:sz w:val="20"/>
          <w:szCs w:val="20"/>
        </w:rPr>
        <w:t xml:space="preserve">, a system that addresses this gap by fusing two complementary signal sources: (1) passively collected GitHub commit history, from which we extract developer chronotypes using circular-coordinate K-Means clustering; and (2) an adaptive psychometric instrument covering eight behavioral dimensions including decision style, conflict resolution, and risk tolerance. The two signals are combined in a weighted compatibility engine to produce a pairwise team compatibility score on a 36-point scale, together with a Monte Carlo simulation that identifies the behavioral profile most likely to improve an existing team.</w:t>
      </w:r>
    </w:p>
    <w:p>
      <w:pPr>
        <w:spacing w:after="100" w:before="0" w:line="276" w:lineRule="auto"/>
        <w:jc w:val="both"/>
      </w:pPr>
      <w:r>
        <w:rPr>
          <w:rFonts w:ascii="Times New Roman" w:cs="Times New Roman" w:eastAsia="Times New Roman" w:hAnsi="Times New Roman"/>
          <w:b/>
          <w:bCs/>
          <w:sz w:val="20"/>
          <w:szCs w:val="20"/>
        </w:rPr>
        <w:t xml:space="preserve">The contributions of this paper are:</w:t>
      </w:r>
    </w:p>
    <w:p>
      <w:pPr>
        <w:pStyle w:val="ListParagraph"/>
        <w:numPr>
          <w:ilvl w:val="0"/>
          <w:numId w:val="2"/>
        </w:numPr>
        <w:spacing w:after="40" w:before="40" w:line="264"/>
      </w:pPr>
      <w:r>
        <w:rPr>
          <w:rFonts w:ascii="Times New Roman" w:cs="Times New Roman" w:eastAsia="Times New Roman" w:hAnsi="Times New Roman"/>
          <w:sz w:val="20"/>
          <w:szCs w:val="20"/>
        </w:rPr>
        <w:t xml:space="preserve">A circular-coordinate K-Means algorithm for chronotype detection from VCS timestamps that correctly handles the midnight discontinuity in linear hour representations (Section III-A).</w:t>
      </w:r>
    </w:p>
    <w:p>
      <w:pPr>
        <w:pStyle w:val="ListParagraph"/>
        <w:numPr>
          <w:ilvl w:val="0"/>
          <w:numId w:val="2"/>
        </w:numPr>
        <w:spacing w:after="40" w:before="40" w:line="264"/>
      </w:pPr>
      <w:r>
        <w:rPr>
          <w:rFonts w:ascii="Times New Roman" w:cs="Times New Roman" w:eastAsia="Times New Roman" w:hAnsi="Times New Roman"/>
          <w:sz w:val="20"/>
          <w:szCs w:val="20"/>
        </w:rPr>
        <w:t xml:space="preserve">A behavioral compatibility engine that adapts the ascending weight structure of the Ashtakoot eight-koot framework to software team behavioral dimensions, with empirical behavioral content replacing its original meaning (Section III-B).</w:t>
      </w:r>
    </w:p>
    <w:p>
      <w:pPr>
        <w:pStyle w:val="ListParagraph"/>
        <w:numPr>
          <w:ilvl w:val="0"/>
          <w:numId w:val="2"/>
        </w:numPr>
        <w:spacing w:after="40" w:before="40" w:line="264"/>
      </w:pPr>
      <w:r>
        <w:rPr>
          <w:rFonts w:ascii="Times New Roman" w:cs="Times New Roman" w:eastAsia="Times New Roman" w:hAnsi="Times New Roman"/>
          <w:sz w:val="20"/>
          <w:szCs w:val="20"/>
        </w:rPr>
        <w:t xml:space="preserve">A Computerized Adaptive Testing (CAT) early-stop strategy that reduces assessment burden to a minimum of four questions while maintaining ≥70% behavioral-dimension weight coverage (Section III-C).</w:t>
      </w:r>
    </w:p>
    <w:p>
      <w:pPr>
        <w:pStyle w:val="ListParagraph"/>
        <w:numPr>
          <w:ilvl w:val="0"/>
          <w:numId w:val="2"/>
        </w:numPr>
        <w:spacing w:after="40" w:before="40" w:line="264"/>
      </w:pPr>
      <w:r>
        <w:rPr>
          <w:rFonts w:ascii="Times New Roman" w:cs="Times New Roman" w:eastAsia="Times New Roman" w:hAnsi="Times New Roman"/>
          <w:sz w:val="20"/>
          <w:szCs w:val="20"/>
        </w:rPr>
        <w:t xml:space="preserve">A Monte Carlo candidate simulation that identifies \u201Cteam-complement\u201D behavioral profiles in 1,000 iterations (Section III-D).</w:t>
      </w:r>
    </w:p>
    <w:p>
      <w:pPr>
        <w:pStyle w:val="ListParagraph"/>
        <w:numPr>
          <w:ilvl w:val="0"/>
          <w:numId w:val="2"/>
        </w:numPr>
        <w:spacing w:after="120" w:before="40" w:line="264"/>
      </w:pPr>
      <w:r>
        <w:rPr>
          <w:rFonts w:ascii="Times New Roman" w:cs="Times New Roman" w:eastAsia="Times New Roman" w:hAnsi="Times New Roman"/>
          <w:sz w:val="20"/>
          <w:szCs w:val="20"/>
        </w:rPr>
        <w:t xml:space="preserve">An empirical evaluation on </w:t>
      </w:r>
      <w:r>
        <w:rPr>
          <w:rFonts w:ascii="Times New Roman" w:cs="Times New Roman" w:eastAsia="Times New Roman" w:hAnsi="Times New Roman"/>
          <w:b/>
          <w:bCs/>
          <w:color w:val="C00000"/>
          <w:sz w:val="20"/>
          <w:szCs w:val="20"/>
        </w:rPr>
        <w:t xml:space="preserve">[N]</w:t>
      </w:r>
      <w:r>
        <w:rPr>
          <w:rFonts w:ascii="Times New Roman" w:cs="Times New Roman" w:eastAsia="Times New Roman" w:hAnsi="Times New Roman"/>
          <w:sz w:val="20"/>
          <w:szCs w:val="20"/>
        </w:rPr>
        <w:t xml:space="preserve"> public GitHub profiles validated against Morningness-Eveningness Questionnaire (MEQ) ground truth (Section IV).</w:t>
      </w:r>
    </w:p>
    <w:p>
      <w:pPr>
        <w:pBdr>
          <w:bottom w:val="single" w:color="2E5496" w:sz="8" w:space="1"/>
        </w:pBdr>
        <w:spacing w:after="0" w:before="0"/>
      </w:pPr>
    </w:p>
    <w:p>
      <w:pPr>
        <w:pStyle w:val="Heading1"/>
        <w:spacing w:after="80" w:before="260"/>
      </w:pPr>
      <w:r>
        <w:rPr>
          <w:rFonts w:ascii="Times New Roman" w:cs="Times New Roman" w:eastAsia="Times New Roman" w:hAnsi="Times New Roman"/>
          <w:b/>
          <w:bCs/>
          <w:color w:val="1F3864"/>
          <w:sz w:val="22"/>
          <w:szCs w:val="22"/>
        </w:rPr>
        <w:t xml:space="preserve">II.  RELATED WORK</w:t>
      </w:r>
    </w:p>
    <w:p>
      <w:pPr>
        <w:pStyle w:val="Heading2"/>
        <w:spacing w:after="60" w:before="180"/>
      </w:pPr>
      <w:r>
        <w:rPr>
          <w:rFonts w:ascii="Times New Roman" w:cs="Times New Roman" w:eastAsia="Times New Roman" w:hAnsi="Times New Roman"/>
          <w:b/>
          <w:bCs/>
          <w:color w:val="2E5496"/>
          <w:sz w:val="20"/>
          <w:szCs w:val="20"/>
        </w:rPr>
        <w:t xml:space="preserve">A. </w:t>
      </w:r>
      <w:r>
        <w:rPr>
          <w:rFonts w:ascii="Times New Roman" w:cs="Times New Roman" w:eastAsia="Times New Roman" w:hAnsi="Times New Roman"/>
          <w:i/>
          <w:iCs/>
          <w:color w:val="000000"/>
          <w:sz w:val="20"/>
          <w:szCs w:val="20"/>
        </w:rPr>
        <w:t xml:space="preserve">Mining Software Repositories for Behavioral Signals</w:t>
      </w:r>
    </w:p>
    <w:p>
      <w:pPr>
        <w:spacing w:after="100" w:before="0" w:line="276" w:lineRule="auto"/>
        <w:jc w:val="both"/>
      </w:pPr>
      <w:r>
        <w:rPr>
          <w:rFonts w:ascii="Times New Roman" w:cs="Times New Roman" w:eastAsia="Times New Roman" w:hAnsi="Times New Roman"/>
          <w:sz w:val="20"/>
          <w:szCs w:val="20"/>
        </w:rPr>
        <w:t xml:space="preserve">Mining Software Repositories (MSR) has established that GitHub behavioral traces are a rich but imperfect proxy for developer activity. Kalliamvakou et al. [4] documented the "promises and perils" of mining GitHub: personal repositories, inactive projects, and timezone offsets pollute naive analyses of commit data. Subsequent work by Claes et al. [5] studied commit patterns over long durations, finding pronounced individual variation in daily work rhythms. A 2025 Springer empirical study [6] analyzed commit-time evolution across 4,549 repositories over a decade, documenting a statistically significant shift toward nighttime and weekend commits—independent empirical support for the chronotype variance our system measures.</w:t>
      </w:r>
    </w:p>
    <w:p>
      <w:pPr>
        <w:spacing w:after="100" w:before="0" w:line="276" w:lineRule="auto"/>
        <w:jc w:val="both"/>
      </w:pPr>
      <w:r>
        <w:rPr>
          <w:rFonts w:ascii="Times New Roman" w:cs="Times New Roman" w:eastAsia="Times New Roman" w:hAnsi="Times New Roman"/>
          <w:sz w:val="20"/>
          <w:szCs w:val="20"/>
        </w:rPr>
        <w:t xml:space="preserve">No prior MSR work has applied circular statistics to commit timestamps for chronotype classification. Existing approaches use histogram peak detection [5], which treats hour 23 and hour 0 as 23 units apart in linear space rather than adjacent in circular space. Our circular-coordinate projection (cos(2πh/24), sin(2πh/24)) eliminates this discontinuity before clustering, producing chronotype centroids robust to midnight-straddling work patterns.</w:t>
      </w:r>
    </w:p>
    <w:p>
      <w:pPr>
        <w:pStyle w:val="Heading2"/>
        <w:spacing w:after="60" w:before="180"/>
      </w:pPr>
      <w:r>
        <w:rPr>
          <w:rFonts w:ascii="Times New Roman" w:cs="Times New Roman" w:eastAsia="Times New Roman" w:hAnsi="Times New Roman"/>
          <w:b/>
          <w:bCs/>
          <w:color w:val="2E5496"/>
          <w:sz w:val="20"/>
          <w:szCs w:val="20"/>
        </w:rPr>
        <w:t xml:space="preserve">B. </w:t>
      </w:r>
      <w:r>
        <w:rPr>
          <w:rFonts w:ascii="Times New Roman" w:cs="Times New Roman" w:eastAsia="Times New Roman" w:hAnsi="Times New Roman"/>
          <w:i/>
          <w:iCs/>
          <w:color w:val="000000"/>
          <w:sz w:val="20"/>
          <w:szCs w:val="20"/>
        </w:rPr>
        <w:t xml:space="preserve">Personality and Behavioral Compatibility in Software Teams</w:t>
      </w:r>
    </w:p>
    <w:p>
      <w:pPr>
        <w:spacing w:after="100" w:before="0" w:line="276" w:lineRule="auto"/>
        <w:jc w:val="both"/>
      </w:pPr>
      <w:r>
        <w:rPr>
          <w:rFonts w:ascii="Times New Roman" w:cs="Times New Roman" w:eastAsia="Times New Roman" w:hAnsi="Times New Roman"/>
          <w:sz w:val="20"/>
          <w:szCs w:val="20"/>
        </w:rPr>
        <w:t xml:space="preserve">The role of personality in software team effectiveness has been studied for over two decades. Acuña et al. [2] found significant correlations between Big Five personality dimensions and team performance. Cruz et al. [7] conducted a systematic mapping study of team formation in software engineering, finding that non-technical attribute matching is an emerging but understudied trend. A machine-based personality-oriented team recommender by Yilmaz et al. [8] trained a classifier on MBTI-like profiles from 52 software practitioners, achieving results superior to ad-hoc team formation.</w:t>
      </w:r>
    </w:p>
    <w:p>
      <w:pPr>
        <w:spacing w:after="100" w:before="0" w:line="276" w:lineRule="auto"/>
        <w:jc w:val="both"/>
      </w:pPr>
      <w:r>
        <w:rPr>
          <w:rFonts w:ascii="Times New Roman" w:cs="Times New Roman" w:eastAsia="Times New Roman" w:hAnsi="Times New Roman"/>
          <w:sz w:val="20"/>
          <w:szCs w:val="20"/>
        </w:rPr>
        <w:t xml:space="preserve">The closest system to GitSyntropy is WESTREC [9], which uses a multi-dimension effectiveness metric and a Max-Logit algorithm on historical collaboration data. Unlike WESTREC, GitSyntropy requires no prior collaboration history—it operates from a developer's individual repository activity and a brief self-report, making it applicable in hiring and new-team-assembly contexts where no shared history exists.</w:t>
      </w:r>
    </w:p>
    <w:p>
      <w:pPr>
        <w:spacing w:after="100" w:before="0" w:line="276" w:lineRule="auto"/>
        <w:jc w:val="both"/>
      </w:pPr>
      <w:r>
        <w:rPr>
          <w:rFonts w:ascii="Times New Roman" w:cs="Times New Roman" w:eastAsia="Times New Roman" w:hAnsi="Times New Roman"/>
          <w:sz w:val="20"/>
          <w:szCs w:val="20"/>
        </w:rPr>
        <w:t xml:space="preserve">Lykourentzou et al. [10] found statistically significant performance differences between balanced and imbalanced personality teams on computer-based tasks: balanced teams engaged for a mean of 14.6 minutes versus 9.8 minutes for imbalanced teams, providing independent evidence that behavioral complementarity affects collaborative engagement.</w:t>
      </w:r>
    </w:p>
    <w:p>
      <w:pPr>
        <w:pStyle w:val="Heading2"/>
        <w:spacing w:after="60" w:before="180"/>
      </w:pPr>
      <w:r>
        <w:rPr>
          <w:rFonts w:ascii="Times New Roman" w:cs="Times New Roman" w:eastAsia="Times New Roman" w:hAnsi="Times New Roman"/>
          <w:b/>
          <w:bCs/>
          <w:color w:val="2E5496"/>
          <w:sz w:val="20"/>
          <w:szCs w:val="20"/>
        </w:rPr>
        <w:t xml:space="preserve">C. </w:t>
      </w:r>
      <w:r>
        <w:rPr>
          <w:rFonts w:ascii="Times New Roman" w:cs="Times New Roman" w:eastAsia="Times New Roman" w:hAnsi="Times New Roman"/>
          <w:i/>
          <w:iCs/>
          <w:color w:val="000000"/>
          <w:sz w:val="20"/>
          <w:szCs w:val="20"/>
        </w:rPr>
        <w:t xml:space="preserve">Chronotype Research and Circular Statistics</w:t>
      </w:r>
    </w:p>
    <w:p>
      <w:pPr>
        <w:spacing w:after="100" w:before="0" w:line="276" w:lineRule="auto"/>
        <w:jc w:val="both"/>
      </w:pPr>
      <w:r>
        <w:rPr>
          <w:rFonts w:ascii="Times New Roman" w:cs="Times New Roman" w:eastAsia="Times New Roman" w:hAnsi="Times New Roman"/>
          <w:sz w:val="20"/>
          <w:szCs w:val="20"/>
        </w:rPr>
        <w:t xml:space="preserve">The Morningness-Eveningness Questionnaire (MEQ), developed by Horne and Östberg [11], is the gold-standard self-report instrument for human chronotype classification, with scores mapping to Morning-type (59–86), Neither-type (42–58), and Evening-type (16–41). Circular statistics—mapping time-of-day data onto unit-circle coordinates—is well established in chronobiology [14] and behavioral ecology [15], but has not previously been applied to VCS timestamp analysis. We use MEQ classifications as ground-truth labels for evaluating our GitHub-derived chronotype detector.</w:t>
      </w:r>
    </w:p>
    <w:p>
      <w:pPr>
        <w:pBdr>
          <w:bottom w:val="single" w:color="2E5496" w:sz="8" w:space="1"/>
        </w:pBdr>
        <w:spacing w:after="0" w:before="0"/>
      </w:pPr>
    </w:p>
    <w:p>
      <w:pPr>
        <w:pStyle w:val="Heading1"/>
        <w:spacing w:after="80" w:before="260"/>
      </w:pPr>
      <w:r>
        <w:rPr>
          <w:rFonts w:ascii="Times New Roman" w:cs="Times New Roman" w:eastAsia="Times New Roman" w:hAnsi="Times New Roman"/>
          <w:b/>
          <w:bCs/>
          <w:color w:val="1F3864"/>
          <w:sz w:val="22"/>
          <w:szCs w:val="22"/>
        </w:rPr>
        <w:t xml:space="preserve">III.  SYSTEM DESIGN</w:t>
      </w:r>
    </w:p>
    <w:p>
      <w:pPr>
        <w:spacing w:after="100" w:before="0" w:line="276" w:lineRule="auto"/>
        <w:jc w:val="both"/>
      </w:pPr>
      <w:r>
        <w:rPr>
          <w:rFonts w:ascii="Times New Roman" w:cs="Times New Roman" w:eastAsia="Times New Roman" w:hAnsi="Times New Roman"/>
          <w:sz w:val="20"/>
          <w:szCs w:val="20"/>
        </w:rPr>
        <w:t xml:space="preserve">Fig. 1 provides an overview of the GitSyntropy pipeline. GitHub commit history and psychometric responses flow into four algorithmic components: chronotype detection (§III-A), compatibility scoring (§III-B), adaptive assessment (§III-C), and candidate simulation (§III-D). The system is implemented as a FastAPI backend with an Astro+React frontend; a LangGraph DAG orchestrates the async data-fetch and scoring pipeline; a Claude Sonnet LLM generates a narrative report after numerical scoring is complete.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3744" w:hRule="exact"/>
        </w:trPr>
        <w:tc>
          <w:tcPr>
            <w:tcW w:type="dxa" w:w="10080"/>
            <w:tcBorders>
              <w:top w:val="single" w:color="2E5496" w:sz="4"/>
              <w:left w:val="single" w:color="2E5496" w:sz="4"/>
              <w:bottom w:val="single" w:color="2E5496" w:sz="4"/>
              <w:right w:val="single" w:color="2E5496" w:sz="4"/>
            </w:tcBorders>
            <w:shd w:fill="EEF4FB"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2E5496"/>
                <w:sz w:val="22"/>
                <w:szCs w:val="22"/>
              </w:rPr>
              <w:t xml:space="preserve">[FIGURE 1]</w:t>
            </w:r>
          </w:p>
          <w:p>
            <w:pPr>
              <w:spacing w:before="80"/>
              <w:jc w:val="center"/>
            </w:pPr>
            <w:r>
              <w:rPr>
                <w:rFonts w:ascii="Times New Roman" w:cs="Times New Roman" w:eastAsia="Times New Roman" w:hAnsi="Times New Roman"/>
                <w:i/>
                <w:iCs/>
                <w:color w:val="595959"/>
                <w:sz w:val="18"/>
                <w:szCs w:val="18"/>
              </w:rPr>
              <w:t xml:space="preserve">Replace with figure image or TikZ export.</w:t>
            </w:r>
          </w:p>
        </w:tc>
      </w:tr>
    </w:tbl>
    <w:p>
      <w:pPr>
        <w:spacing w:after="200" w:before="10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GitSyntropy pipeline. Commit timestamps feed the circular K-Means chronotype detector. An adaptive eight-item psychometric assessment covers the remaining seven behavioral dimensions. Both signal streams converge in the compatibility engine, which outputs pairwise scores and a Monte Carlo hire-impact simulation.</w:t>
      </w:r>
    </w:p>
    <w:p>
      <w:pPr>
        <w:pStyle w:val="Heading2"/>
        <w:spacing w:after="60" w:before="180"/>
      </w:pPr>
      <w:r>
        <w:rPr>
          <w:rFonts w:ascii="Times New Roman" w:cs="Times New Roman" w:eastAsia="Times New Roman" w:hAnsi="Times New Roman"/>
          <w:b/>
          <w:bCs/>
          <w:color w:val="2E5496"/>
          <w:sz w:val="20"/>
          <w:szCs w:val="20"/>
        </w:rPr>
        <w:t xml:space="preserve">A. </w:t>
      </w:r>
      <w:r>
        <w:rPr>
          <w:rFonts w:ascii="Times New Roman" w:cs="Times New Roman" w:eastAsia="Times New Roman" w:hAnsi="Times New Roman"/>
          <w:i/>
          <w:iCs/>
          <w:color w:val="000000"/>
          <w:sz w:val="20"/>
          <w:szCs w:val="20"/>
        </w:rPr>
        <w:t xml:space="preserve">Circular-Coordinate Chronotype Detection</w:t>
      </w:r>
    </w:p>
    <w:p>
      <w:pPr>
        <w:spacing w:after="100" w:before="0" w:line="276" w:lineRule="auto"/>
        <w:jc w:val="both"/>
      </w:pPr>
      <w:r>
        <w:rPr>
          <w:rFonts w:ascii="Times New Roman" w:cs="Times New Roman" w:eastAsia="Times New Roman" w:hAnsi="Times New Roman"/>
          <w:b/>
          <w:bCs/>
          <w:sz w:val="20"/>
          <w:szCs w:val="20"/>
        </w:rPr>
        <w:t xml:space="preserve">Input. </w:t>
      </w:r>
      <w:r>
        <w:rPr>
          <w:rFonts w:ascii="Times New Roman" w:cs="Times New Roman" w:eastAsia="Times New Roman" w:hAnsi="Times New Roman"/>
          <w:sz w:val="20"/>
          <w:szCs w:val="20"/>
        </w:rPr>
        <w:t xml:space="preserve">Let H = {h₁, h₂, …, hₙ} be the set of commit-hour integers (author local time, range [0, 23]) extracted from a developer's GitHub activity over the prior 90 days.</w:t>
      </w:r>
    </w:p>
    <w:p>
      <w:pPr>
        <w:spacing w:after="100" w:before="0" w:line="276" w:lineRule="auto"/>
        <w:jc w:val="both"/>
      </w:pPr>
      <w:r>
        <w:rPr>
          <w:rFonts w:ascii="Times New Roman" w:cs="Times New Roman" w:eastAsia="Times New Roman" w:hAnsi="Times New Roman"/>
          <w:b/>
          <w:bCs/>
          <w:sz w:val="20"/>
          <w:szCs w:val="20"/>
        </w:rPr>
        <w:t xml:space="preserve">Step 1 — Circular projection. </w:t>
      </w:r>
      <w:r>
        <w:rPr>
          <w:rFonts w:ascii="Times New Roman" w:cs="Times New Roman" w:eastAsia="Times New Roman" w:hAnsi="Times New Roman"/>
          <w:sz w:val="20"/>
          <w:szCs w:val="20"/>
        </w:rPr>
        <w:t xml:space="preserve">Each hour is mapped onto the unit circle:</w:t>
      </w:r>
    </w:p>
    <w:p>
      <w:pPr>
        <w:spacing w:after="80" w:before="80"/>
        <w:jc w:val="center"/>
      </w:pPr>
      <w:r>
        <w:rPr>
          <w:rFonts w:ascii="Cambria Math" w:cs="Cambria Math" w:eastAsia="Cambria Math" w:hAnsi="Cambria Math"/>
          <w:i/>
          <w:iCs/>
          <w:sz w:val="20"/>
          <w:szCs w:val="20"/>
        </w:rPr>
        <w:t xml:space="preserve">xᵢ = cos(2π hᵢ / 24),   yᵢ = sin(2π hᵢ / 24)   … (1)</w:t>
      </w:r>
    </w:p>
    <w:p>
      <w:pPr>
        <w:spacing w:after="100" w:before="0" w:line="276" w:lineRule="auto"/>
        <w:jc w:val="both"/>
      </w:pPr>
      <w:r>
        <w:rPr>
          <w:rFonts w:ascii="Times New Roman" w:cs="Times New Roman" w:eastAsia="Times New Roman" w:hAnsi="Times New Roman"/>
          <w:sz w:val="20"/>
          <w:szCs w:val="20"/>
        </w:rPr>
        <w:t xml:space="preserve">This projection ensures that hours 23 and 0 are separated by angular distance 2π/24 rather than 23 linear units, eliminating the boundary artifact that causes linear-space clustering to misassign night-owl developers.</w:t>
      </w:r>
    </w:p>
    <w:p>
      <w:pPr>
        <w:spacing w:after="100" w:before="0" w:line="276" w:lineRule="auto"/>
        <w:jc w:val="both"/>
      </w:pPr>
      <w:r>
        <w:rPr>
          <w:rFonts w:ascii="Times New Roman" w:cs="Times New Roman" w:eastAsia="Times New Roman" w:hAnsi="Times New Roman"/>
          <w:b/>
          <w:bCs/>
          <w:sz w:val="20"/>
          <w:szCs w:val="20"/>
        </w:rPr>
        <w:t xml:space="preserve">Step 2 — K-Means clustering. </w:t>
      </w:r>
      <w:r>
        <w:rPr>
          <w:rFonts w:ascii="Times New Roman" w:cs="Times New Roman" w:eastAsia="Times New Roman" w:hAnsi="Times New Roman"/>
          <w:sz w:val="20"/>
          <w:szCs w:val="20"/>
        </w:rPr>
        <w:t xml:space="preserve">Scikit-learn's KMeans is applied to the matrix {(xᵢ, yᵢ)} with k = min(3, |unique(H)|), random_state = 42, and n_init = 10.</w:t>
      </w:r>
    </w:p>
    <w:p>
      <w:pPr>
        <w:spacing w:after="100" w:before="0" w:line="276" w:lineRule="auto"/>
        <w:jc w:val="both"/>
      </w:pPr>
      <w:r>
        <w:rPr>
          <w:rFonts w:ascii="Times New Roman" w:cs="Times New Roman" w:eastAsia="Times New Roman" w:hAnsi="Times New Roman"/>
          <w:b/>
          <w:bCs/>
          <w:sz w:val="20"/>
          <w:szCs w:val="20"/>
        </w:rPr>
        <w:t xml:space="preserve">Step 3 — Dominant cluster and peak hour. </w:t>
      </w:r>
      <w:r>
        <w:rPr>
          <w:rFonts w:ascii="Times New Roman" w:cs="Times New Roman" w:eastAsia="Times New Roman" w:hAnsi="Times New Roman"/>
          <w:sz w:val="20"/>
          <w:szCs w:val="20"/>
        </w:rPr>
        <w:t xml:space="preserve">The cluster c* with the largest membership n_c* is selected. Confidence is defined as conf = n_c* / n. The centroid (x̄, ȳ) of c* is inverse-projected: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p>
      <w:pPr>
        <w:spacing w:after="100" w:before="0" w:line="276" w:lineRule="auto"/>
        <w:jc w:val="both"/>
      </w:pPr>
      <w:r>
        <w:rPr>
          <w:rFonts w:ascii="Times New Roman" w:cs="Times New Roman" w:eastAsia="Times New Roman" w:hAnsi="Times New Roman"/>
          <w:b/>
          <w:bCs/>
          <w:sz w:val="20"/>
          <w:szCs w:val="20"/>
        </w:rPr>
        <w:t xml:space="preserve">Step 4 — Entropy-based 'flexible' label. </w:t>
      </w:r>
      <w:r>
        <w:rPr>
          <w:rFonts w:ascii="Times New Roman" w:cs="Times New Roman" w:eastAsia="Times New Roman" w:hAnsi="Times New Roman"/>
          <w:sz w:val="20"/>
          <w:szCs w:val="20"/>
        </w:rPr>
        <w:t xml:space="preserve">The normalized Shannon entropy of the 24-bin commit-hour histogram p is:</w:t>
      </w:r>
    </w:p>
    <w:p>
      <w:pPr>
        <w:spacing w:after="80" w:before="80"/>
        <w:jc w:val="center"/>
      </w:pPr>
      <w:r>
        <w:rPr>
          <w:rFonts w:ascii="Cambria Math" w:cs="Cambria Math" w:eastAsia="Cambria Math" w:hAnsi="Cambria Math"/>
          <w:i/>
          <w:iCs/>
          <w:sz w:val="20"/>
          <w:szCs w:val="20"/>
        </w:rPr>
        <w:t xml:space="preserve">H_S = −Σᵢ pᵢ log(pᵢ + ε),   H_max = log 24,   ε = 10⁻⁹   … (3)</w:t>
      </w:r>
    </w:p>
    <w:p>
      <w:pPr>
        <w:spacing w:after="100" w:before="0" w:line="276" w:lineRule="auto"/>
        <w:jc w:val="both"/>
      </w:pPr>
      <w:r>
        <w:rPr>
          <w:rFonts w:ascii="Times New Roman" w:cs="Times New Roman" w:eastAsia="Times New Roman" w:hAnsi="Times New Roman"/>
          <w:sz w:val="20"/>
          <w:szCs w:val="20"/>
        </w:rPr>
        <w:t xml:space="preserve">If H_S / H_max &gt; 0.92, the developer is classified as </w:t>
      </w:r>
      <w:r>
        <w:rPr>
          <w:rFonts w:ascii="Times New Roman" w:cs="Times New Roman" w:eastAsia="Times New Roman" w:hAnsi="Times New Roman"/>
          <w:i/>
          <w:iCs/>
          <w:sz w:val="20"/>
          <w:szCs w:val="20"/>
        </w:rPr>
        <w:t xml:space="preserve">flexible</w:t>
      </w:r>
      <w:r>
        <w:rPr>
          <w:rFonts w:ascii="Times New Roman" w:cs="Times New Roman" w:eastAsia="Times New Roman" w:hAnsi="Times New Roman"/>
          <w:sz w:val="20"/>
          <w:szCs w:val="20"/>
        </w:rPr>
        <w:t xml:space="preserve"> regardless of the cluster centroid.</w:t>
      </w:r>
    </w:p>
    <w:p>
      <w:pPr>
        <w:spacing w:after="100" w:before="0" w:line="276" w:lineRule="auto"/>
        <w:jc w:val="both"/>
      </w:pPr>
      <w:r>
        <w:rPr>
          <w:rFonts w:ascii="Times New Roman" w:cs="Times New Roman" w:eastAsia="Times New Roman" w:hAnsi="Times New Roman"/>
          <w:b/>
          <w:bCs/>
          <w:sz w:val="20"/>
          <w:szCs w:val="20"/>
        </w:rPr>
        <w:t xml:space="preserve">Step 5 — Label assignment:</w:t>
      </w:r>
    </w:p>
    <w:p>
      <w:pPr>
        <w:spacing w:after="80" w:before="80"/>
        <w:jc w:val="center"/>
      </w:pPr>
      <w:r>
        <w:rPr>
          <w:rFonts w:ascii="Cambria Math" w:cs="Cambria Math" w:eastAsia="Cambria Math" w:hAnsi="Cambria Math"/>
          <w:i/>
          <w:iCs/>
          <w:sz w:val="20"/>
          <w:szCs w:val="20"/>
        </w:rPr>
        <w:t xml:space="preserve">chronotype(h*) = lark if h* ∈ [5,11); daytime if h* ∈ [11,19); evening if h* ∈ [19,23); owl otherwise   … (4)</w:t>
      </w:r>
    </w:p>
    <w:p>
      <w:pPr>
        <w:spacing w:after="100" w:before="0" w:line="276" w:lineRule="auto"/>
        <w:jc w:val="both"/>
      </w:pPr>
      <w:r>
        <w:rPr>
          <w:rFonts w:ascii="Times New Roman" w:cs="Times New Roman" w:eastAsia="Times New Roman" w:hAnsi="Times New Roman"/>
          <w:b/>
          <w:bCs/>
          <w:sz w:val="20"/>
          <w:szCs w:val="20"/>
        </w:rPr>
        <w:t xml:space="preserve">Fallbacks. </w:t>
      </w:r>
      <w:r>
        <w:rPr>
          <w:rFonts w:ascii="Times New Roman" w:cs="Times New Roman" w:eastAsia="Times New Roman" w:hAnsi="Times New Roman"/>
          <w:sz w:val="20"/>
          <w:szCs w:val="20"/>
        </w:rPr>
        <w:t xml:space="preserve">For n &lt; 10 commits the histogram peak replaces K-Means (confidence fixed at 0.4). Empty input returns {flexible, h* = 12.0, conf = 0.0}.</w:t>
      </w:r>
    </w:p>
    <w:p>
      <w:pPr>
        <w:spacing w:after="40" w:before="160"/>
      </w:pPr>
      <w:r>
        <w:rPr>
          <w:rFonts w:ascii="Times New Roman" w:cs="Times New Roman" w:eastAsia="Times New Roman" w:hAnsi="Times New Roman"/>
          <w:b/>
          <w:bCs/>
          <w:color w:val="1F3864"/>
          <w:sz w:val="20"/>
          <w:szCs w:val="20"/>
        </w:rPr>
        <w:t xml:space="preserve">Algorithm 1: Circular-Coordinate Chronotype Detection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496" w:sz="4"/>
              <w:left w:val="single" w:color="2E5496" w:sz="4"/>
              <w:bottom w:val="single" w:color="2E5496" w:sz="4"/>
              <w:right w:val="single" w:color="2E5496" w:sz="4"/>
            </w:tcBorders>
            <w:shd w:fill="F5F8FC" w:val="clear"/>
            <w:tcMar>
              <w:top w:type="dxa" w:w="120"/>
              <w:left w:type="dxa" w:w="240"/>
              <w:bottom w:type="dxa" w:w="120"/>
              <w:right w:type="dxa" w:w="240"/>
            </w:tcMar>
          </w:tcPr>
          <w:p>
            <w:pPr>
              <w:spacing w:after="0" w:before="0" w:line="240" w:lineRule="auto"/>
              <w:ind w:left="720" w:hanging="0"/>
            </w:pPr>
            <w:r>
              <w:rPr>
                <w:rFonts w:ascii="Courier New" w:cs="Courier New" w:eastAsia="Courier New" w:hAnsi="Courier New"/>
                <w:sz w:val="18"/>
                <w:szCs w:val="18"/>
              </w:rPr>
              <w:t xml:space="preserve">Input:  Commit-hour list H, entropy threshold τ = 0.92, min-count n_min = 10</w:t>
            </w:r>
          </w:p>
          <w:p>
            <w:pPr>
              <w:spacing w:after="0" w:before="0" w:line="240" w:lineRule="auto"/>
              <w:ind w:left="720" w:hanging="0"/>
            </w:pPr>
            <w:r>
              <w:rPr>
                <w:rFonts w:ascii="Courier New" w:cs="Courier New" w:eastAsia="Courier New" w:hAnsi="Courier New"/>
                <w:sz w:val="18"/>
                <w:szCs w:val="18"/>
              </w:rPr>
              <w:t xml:space="preserve">Output: Chronotype label, peak hour h*, confidence</w:t>
            </w:r>
          </w:p>
          <w:p>
            <w:pPr>
              <w:spacing w:after="0" w:before="0" w:line="240" w:lineRule="auto"/>
              <w:ind w:left="720" w:hanging="0"/>
            </w:pPr>
            <w:r>
              <w:rPr>
                <w:rFonts w:ascii="Courier New" w:cs="Courier New" w:eastAsia="Courier New" w:hAnsi="Courier New"/>
                <w:sz w:val="18"/>
                <w:szCs w:val="18"/>
              </w:rPr>
              <w:t xml:space="preserve">─────────────────────────────────────────────────────────</w:t>
            </w:r>
          </w:p>
          <w:p>
            <w:pPr>
              <w:spacing w:after="0" w:before="0" w:line="240" w:lineRule="auto"/>
              <w:ind w:left="720" w:hanging="0"/>
            </w:pPr>
            <w:r>
              <w:rPr>
                <w:rFonts w:ascii="Courier New" w:cs="Courier New" w:eastAsia="Courier New" w:hAnsi="Courier New"/>
                <w:sz w:val="18"/>
                <w:szCs w:val="18"/>
              </w:rPr>
              <w:t xml:space="preserve">1:  if |H| = 0 then return (flexible, 12.0, 0.0)</w:t>
            </w:r>
          </w:p>
          <w:p>
            <w:pPr>
              <w:spacing w:after="0" w:before="0" w:line="240" w:lineRule="auto"/>
              <w:ind w:left="720" w:hanging="0"/>
            </w:pPr>
            <w:r>
              <w:rPr>
                <w:rFonts w:ascii="Courier New" w:cs="Courier New" w:eastAsia="Courier New" w:hAnsi="Courier New"/>
                <w:sz w:val="18"/>
                <w:szCs w:val="18"/>
              </w:rPr>
              <w:t xml:space="preserve">2:  Compute H_S from 24-bin histogram of H  [Eq. 3]</w:t>
            </w:r>
          </w:p>
          <w:p>
            <w:pPr>
              <w:spacing w:after="0" w:before="0" w:line="240" w:lineRule="auto"/>
              <w:ind w:left="720" w:hanging="0"/>
            </w:pPr>
            <w:r>
              <w:rPr>
                <w:rFonts w:ascii="Courier New" w:cs="Courier New" w:eastAsia="Courier New" w:hAnsi="Courier New"/>
                <w:sz w:val="18"/>
                <w:szCs w:val="18"/>
              </w:rPr>
              <w:t xml:space="preserve">3:  if H_S / log(24) &gt; τ then return (flexible, 12.0, H_S/log(24))</w:t>
            </w:r>
          </w:p>
          <w:p>
            <w:pPr>
              <w:spacing w:after="0" w:before="0" w:line="240" w:lineRule="auto"/>
              <w:ind w:left="720" w:hanging="0"/>
            </w:pPr>
            <w:r>
              <w:rPr>
                <w:rFonts w:ascii="Courier New" w:cs="Courier New" w:eastAsia="Courier New" w:hAnsi="Courier New"/>
                <w:sz w:val="18"/>
                <w:szCs w:val="18"/>
              </w:rPr>
              <w:t xml:space="preserve">4:  if |H| &lt; n_min then</w:t>
            </w:r>
          </w:p>
          <w:p>
            <w:pPr>
              <w:spacing w:after="0" w:before="0" w:line="240" w:lineRule="auto"/>
              <w:ind w:left="130320" w:hanging="0"/>
            </w:pPr>
            <w:r>
              <w:rPr>
                <w:rFonts w:ascii="Courier New" w:cs="Courier New" w:eastAsia="Courier New" w:hAnsi="Courier New"/>
                <w:sz w:val="18"/>
                <w:szCs w:val="18"/>
              </w:rPr>
              <w:t xml:space="preserve">5:      h* ← argmax histogram(H)</w:t>
            </w:r>
          </w:p>
          <w:p>
            <w:pPr>
              <w:spacing w:after="0" w:before="0" w:line="240" w:lineRule="auto"/>
              <w:ind w:left="130320" w:hanging="0"/>
            </w:pPr>
            <w:r>
              <w:rPr>
                <w:rFonts w:ascii="Courier New" w:cs="Courier New" w:eastAsia="Courier New" w:hAnsi="Courier New"/>
                <w:sz w:val="18"/>
                <w:szCs w:val="18"/>
              </w:rPr>
              <w:t xml:space="preserve">6:      return (label(h*), h*, 0.4)</w:t>
            </w:r>
          </w:p>
          <w:p>
            <w:pPr>
              <w:spacing w:after="0" w:before="0" w:line="240" w:lineRule="auto"/>
              <w:ind w:left="720" w:hanging="0"/>
            </w:pPr>
            <w:r>
              <w:rPr>
                <w:rFonts w:ascii="Courier New" w:cs="Courier New" w:eastAsia="Courier New" w:hAnsi="Courier New"/>
                <w:sz w:val="18"/>
                <w:szCs w:val="18"/>
              </w:rPr>
              <w:t xml:space="preserve">7:  Project H → {(xᵢ, yᵢ)} via Eq. 1</w:t>
            </w:r>
          </w:p>
          <w:p>
            <w:pPr>
              <w:spacing w:after="0" w:before="0" w:line="240" w:lineRule="auto"/>
              <w:ind w:left="720" w:hanging="0"/>
            </w:pPr>
            <w:r>
              <w:rPr>
                <w:rFonts w:ascii="Courier New" w:cs="Courier New" w:eastAsia="Courier New" w:hAnsi="Courier New"/>
                <w:sz w:val="18"/>
                <w:szCs w:val="18"/>
              </w:rPr>
              <w:t xml:space="preserve">8:  k ← min(3, |unique(H)|)</w:t>
            </w:r>
          </w:p>
          <w:p>
            <w:pPr>
              <w:spacing w:after="0" w:before="0" w:line="240" w:lineRule="auto"/>
              <w:ind w:left="720" w:hanging="0"/>
            </w:pPr>
            <w:r>
              <w:rPr>
                <w:rFonts w:ascii="Courier New" w:cs="Courier New" w:eastAsia="Courier New" w:hAnsi="Courier New"/>
                <w:sz w:val="18"/>
                <w:szCs w:val="18"/>
              </w:rPr>
              <w:t xml:space="preserve">9:  Fit KMeans(k, random_state=42, n_init=10) on {(xᵢ, yᵢ)}</w:t>
            </w:r>
          </w:p>
          <w:p>
            <w:pPr>
              <w:spacing w:after="0" w:before="0" w:line="240" w:lineRule="auto"/>
              <w:ind w:left="720" w:hanging="0"/>
            </w:pPr>
            <w:r>
              <w:rPr>
                <w:rFonts w:ascii="Courier New" w:cs="Courier New" w:eastAsia="Courier New" w:hAnsi="Courier New"/>
                <w:sz w:val="18"/>
                <w:szCs w:val="18"/>
              </w:rPr>
              <w:t xml:space="preserve">10: c* ← cluster with maximum membership n_c*</w:t>
            </w:r>
          </w:p>
          <w:p>
            <w:pPr>
              <w:spacing w:after="0" w:before="0" w:line="240" w:lineRule="auto"/>
              <w:ind w:left="720" w:hanging="0"/>
            </w:pPr>
            <w:r>
              <w:rPr>
                <w:rFonts w:ascii="Courier New" w:cs="Courier New" w:eastAsia="Courier New" w:hAnsi="Courier New"/>
                <w:sz w:val="18"/>
                <w:szCs w:val="18"/>
              </w:rPr>
              <w:t xml:space="preserve">11: (x̄, ȳ) ← centroid of c*</w:t>
            </w:r>
          </w:p>
          <w:p>
            <w:pPr>
              <w:spacing w:after="0" w:before="0" w:line="240" w:lineRule="auto"/>
              <w:ind w:left="720" w:hanging="0"/>
            </w:pPr>
            <w:r>
              <w:rPr>
                <w:rFonts w:ascii="Courier New" w:cs="Courier New" w:eastAsia="Courier New" w:hAnsi="Courier New"/>
                <w:sz w:val="18"/>
                <w:szCs w:val="18"/>
              </w:rPr>
              <w:t xml:space="preserve">12: h* ← inverse projection via Eq. 2</w:t>
            </w:r>
          </w:p>
          <w:p>
            <w:pPr>
              <w:spacing w:after="0" w:before="0" w:line="240" w:lineRule="auto"/>
              <w:ind w:left="720" w:hanging="0"/>
            </w:pPr>
            <w:r>
              <w:rPr>
                <w:rFonts w:ascii="Courier New" w:cs="Courier New" w:eastAsia="Courier New" w:hAnsi="Courier New"/>
                <w:sz w:val="18"/>
                <w:szCs w:val="18"/>
              </w:rPr>
              <w:t xml:space="preserve">13: return (label(h*), h*, n_c* / |H|)</w:t>
            </w:r>
          </w:p>
        </w:tc>
      </w:tr>
    </w:tbl>
    <w:p>
      <w:pPr>
        <w:spacing w:after="20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4032" w:hRule="exact"/>
        </w:trPr>
        <w:tc>
          <w:tcPr>
            <w:tcW w:type="dxa" w:w="10080"/>
            <w:tcBorders>
              <w:top w:val="single" w:color="2E5496" w:sz="4"/>
              <w:left w:val="single" w:color="2E5496" w:sz="4"/>
              <w:bottom w:val="single" w:color="2E5496" w:sz="4"/>
              <w:right w:val="single" w:color="2E5496" w:sz="4"/>
            </w:tcBorders>
            <w:shd w:fill="EEF4FB"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2E5496"/>
                <w:sz w:val="22"/>
                <w:szCs w:val="22"/>
              </w:rPr>
              <w:t xml:space="preserve">[FIGURE 2]</w:t>
            </w:r>
          </w:p>
          <w:p>
            <w:pPr>
              <w:spacing w:before="80"/>
              <w:jc w:val="center"/>
            </w:pPr>
            <w:r>
              <w:rPr>
                <w:rFonts w:ascii="Times New Roman" w:cs="Times New Roman" w:eastAsia="Times New Roman" w:hAnsi="Times New Roman"/>
                <w:i/>
                <w:iCs/>
                <w:color w:val="595959"/>
                <w:sz w:val="18"/>
                <w:szCs w:val="18"/>
              </w:rPr>
              <w:t xml:space="preserve">Replace with figure image or TikZ export.</w:t>
            </w:r>
          </w:p>
        </w:tc>
      </w:tr>
    </w:tbl>
    <w:p>
      <w:pPr>
        <w:spacing w:after="200" w:before="10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Representative commit-hour distributions for each chronotype on the 24-hour unit circle. The circular projection (Eq. 1) ensures hours 23 and 0 are adjacent, preventing the boundary artifact of linear K-Means. The entropy-based flexible label is triggered when the histogram is nearly uniform (H_S/H_max &gt; 0.92).</w:t>
      </w:r>
    </w:p>
    <w:p>
      <w:pPr>
        <w:pStyle w:val="Heading2"/>
        <w:spacing w:after="60" w:before="180"/>
      </w:pPr>
      <w:r>
        <w:rPr>
          <w:rFonts w:ascii="Times New Roman" w:cs="Times New Roman" w:eastAsia="Times New Roman" w:hAnsi="Times New Roman"/>
          <w:b/>
          <w:bCs/>
          <w:color w:val="2E5496"/>
          <w:sz w:val="20"/>
          <w:szCs w:val="20"/>
        </w:rPr>
        <w:t xml:space="preserve">B. </w:t>
      </w:r>
      <w:r>
        <w:rPr>
          <w:rFonts w:ascii="Times New Roman" w:cs="Times New Roman" w:eastAsia="Times New Roman" w:hAnsi="Times New Roman"/>
          <w:i/>
          <w:iCs/>
          <w:color w:val="000000"/>
          <w:sz w:val="20"/>
          <w:szCs w:val="20"/>
        </w:rPr>
        <w:t xml:space="preserve">Eight-Dimension Behavioral Compatibility Engine</w:t>
      </w:r>
    </w:p>
    <w:p>
      <w:pPr>
        <w:spacing w:after="40" w:before="120"/>
      </w:pPr>
      <w:r>
        <w:rPr>
          <w:rFonts w:ascii="Times New Roman" w:cs="Times New Roman" w:eastAsia="Times New Roman" w:hAnsi="Times New Roman"/>
          <w:b/>
          <w:bCs/>
          <w:i/>
          <w:iCs/>
          <w:sz w:val="20"/>
          <w:szCs w:val="20"/>
        </w:rPr>
        <w:t xml:space="preserve">Dimension structure:</w:t>
      </w:r>
    </w:p>
    <w:p>
      <w:pPr>
        <w:spacing w:after="100" w:before="0" w:line="276" w:lineRule="auto"/>
        <w:jc w:val="both"/>
      </w:pPr>
      <w:r>
        <w:rPr>
          <w:rFonts w:ascii="Times New Roman" w:cs="Times New Roman" w:eastAsia="Times New Roman" w:hAnsi="Times New Roman"/>
          <w:sz w:val="20"/>
          <w:szCs w:val="20"/>
        </w:rPr>
        <w:t xml:space="preserve">The compatibility engine scores developer pair (a, b) across eight behavioral dimensions. We adopt the weight structure w_d ∈ {1, 2, 3, 4, 5, 6, 7, 8} from the Ashtakoot ("eight-koot") framework, whose multi-criteria weight scheme provides a principled ascending-weight aggregation totaling exactly 36 points. The content of every dimension is replaced with empirically grounded behavioral constructs (Table I); no astrological interpretation is invoked or implied.</w:t>
      </w:r>
    </w:p>
    <w:p>
      <w:pPr>
        <w:spacing w:after="60" w:before="120"/>
        <w:jc w:val="center"/>
      </w:pPr>
      <w:r>
        <w:rPr>
          <w:rFonts w:ascii="Times New Roman" w:cs="Times New Roman" w:eastAsia="Times New Roman" w:hAnsi="Times New Roman"/>
          <w:b/>
          <w:bCs/>
          <w:color w:val="1F3864"/>
          <w:sz w:val="19"/>
          <w:szCs w:val="19"/>
        </w:rPr>
        <w:t xml:space="preserve">TABLE I — Eight Behavioral Dimensions, Weights, and Constructs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2200"/>
        <w:gridCol w:w="720"/>
        <w:gridCol w:w="6520"/>
      </w:tblGrid>
      <w:tr>
        <w:tc>
          <w:tcPr>
            <w:tcW w:type="dxa" w:w="64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18"/>
                <w:szCs w:val="18"/>
              </w:rPr>
              <w:t xml:space="preserve">#</w:t>
            </w:r>
          </w:p>
        </w:tc>
        <w:tc>
          <w:tcPr>
            <w:tcW w:type="dxa" w:w="22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18"/>
                <w:szCs w:val="18"/>
              </w:rPr>
              <w:t xml:space="preserve">Dimension</w:t>
            </w:r>
          </w:p>
        </w:tc>
        <w:tc>
          <w:tcPr>
            <w:tcW w:type="dxa" w:w="72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18"/>
                <w:szCs w:val="18"/>
              </w:rPr>
              <w:t xml:space="preserve">w_d</w:t>
            </w:r>
          </w:p>
        </w:tc>
        <w:tc>
          <w:tcPr>
            <w:tcW w:type="dxa" w:w="652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18"/>
                <w:szCs w:val="18"/>
              </w:rPr>
              <w:t xml:space="preserve">Behavioral Construct</w:t>
            </w:r>
          </w:p>
        </w:tc>
      </w:tr>
      <w:tr>
        <w:tc>
          <w:tcPr>
            <w:tcW w:type="dxa" w:w="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1</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Innovation Drive</w:t>
            </w:r>
          </w:p>
        </w:tc>
        <w:tc>
          <w:tcPr>
            <w:tcW w:type="dxa" w:w="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1</w:t>
            </w:r>
          </w:p>
        </w:tc>
        <w:tc>
          <w:tcPr>
            <w:tcW w:type="dxa" w:w="65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Conservative vs. exploratory orientation</w:t>
            </w:r>
          </w:p>
        </w:tc>
      </w:tr>
      <w:tr>
        <w:tc>
          <w:tcPr>
            <w:tcW w:type="dxa" w:w="64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2</w:t>
            </w:r>
          </w:p>
        </w:tc>
        <w:tc>
          <w:tcPr>
            <w:tcW w:type="dxa" w:w="220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Leadership Orient.</w:t>
            </w:r>
          </w:p>
        </w:tc>
        <w:tc>
          <w:tcPr>
            <w:tcW w:type="dxa" w:w="7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2</w:t>
            </w:r>
          </w:p>
        </w:tc>
        <w:tc>
          <w:tcPr>
            <w:tcW w:type="dxa" w:w="65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Authority and influence patterns</w:t>
            </w:r>
          </w:p>
        </w:tc>
      </w:tr>
      <w:tr>
        <w:tc>
          <w:tcPr>
            <w:tcW w:type="dxa" w:w="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3</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Team Resilience</w:t>
            </w:r>
          </w:p>
        </w:tc>
        <w:tc>
          <w:tcPr>
            <w:tcW w:type="dxa" w:w="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3</w:t>
            </w:r>
          </w:p>
        </w:tc>
        <w:tc>
          <w:tcPr>
            <w:tcW w:type="dxa" w:w="65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Communication style fit</w:t>
            </w:r>
          </w:p>
        </w:tc>
      </w:tr>
      <w:tr>
        <w:tc>
          <w:tcPr>
            <w:tcW w:type="dxa" w:w="64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4</w:t>
            </w:r>
          </w:p>
        </w:tc>
        <w:tc>
          <w:tcPr>
            <w:tcW w:type="dxa" w:w="220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Work Style</w:t>
            </w:r>
          </w:p>
        </w:tc>
        <w:tc>
          <w:tcPr>
            <w:tcW w:type="dxa" w:w="7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4</w:t>
            </w:r>
          </w:p>
        </w:tc>
        <w:tc>
          <w:tcPr>
            <w:tcW w:type="dxa" w:w="65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Conflict resolution / work mode</w:t>
            </w:r>
          </w:p>
        </w:tc>
      </w:tr>
      <w:tr>
        <w:tc>
          <w:tcPr>
            <w:tcW w:type="dxa" w:w="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5</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Decision Style</w:t>
            </w:r>
          </w:p>
        </w:tc>
        <w:tc>
          <w:tcPr>
            <w:tcW w:type="dxa" w:w="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5</w:t>
            </w:r>
          </w:p>
        </w:tc>
        <w:tc>
          <w:tcPr>
            <w:tcW w:type="dxa" w:w="65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Data-driven vs. intuitive</w:t>
            </w:r>
          </w:p>
        </w:tc>
      </w:tr>
      <w:tr>
        <w:tc>
          <w:tcPr>
            <w:tcW w:type="dxa" w:w="64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6</w:t>
            </w:r>
          </w:p>
        </w:tc>
        <w:tc>
          <w:tcPr>
            <w:tcW w:type="dxa" w:w="220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Risk Tolerance</w:t>
            </w:r>
          </w:p>
        </w:tc>
        <w:tc>
          <w:tcPr>
            <w:tcW w:type="dxa" w:w="7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6</w:t>
            </w:r>
          </w:p>
        </w:tc>
        <w:tc>
          <w:tcPr>
            <w:tcW w:type="dxa" w:w="65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Bold vs. cautious</w:t>
            </w:r>
          </w:p>
        </w:tc>
      </w:tr>
      <w:tr>
        <w:tc>
          <w:tcPr>
            <w:tcW w:type="dxa" w:w="64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7</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Stress Response</w:t>
            </w:r>
          </w:p>
        </w:tc>
        <w:tc>
          <w:tcPr>
            <w:tcW w:type="dxa" w:w="7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7</w:t>
            </w:r>
          </w:p>
        </w:tc>
        <w:tc>
          <w:tcPr>
            <w:tcW w:type="dxa" w:w="65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Pressure handling patterns</w:t>
            </w:r>
          </w:p>
        </w:tc>
      </w:tr>
      <w:tr>
        <w:tc>
          <w:tcPr>
            <w:tcW w:type="dxa" w:w="64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8</w:t>
            </w:r>
          </w:p>
        </w:tc>
        <w:tc>
          <w:tcPr>
            <w:tcW w:type="dxa" w:w="220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Chronotype Sync</w:t>
            </w:r>
          </w:p>
        </w:tc>
        <w:tc>
          <w:tcPr>
            <w:tcW w:type="dxa" w:w="7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8</w:t>
            </w:r>
          </w:p>
        </w:tc>
        <w:tc>
          <w:tcPr>
            <w:tcW w:type="dxa" w:w="65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left"/>
            </w:pPr>
            <w:r>
              <w:rPr>
                <w:rFonts w:ascii="Times New Roman" w:cs="Times New Roman" w:eastAsia="Times New Roman" w:hAnsi="Times New Roman"/>
                <w:sz w:val="18"/>
                <w:szCs w:val="18"/>
              </w:rPr>
              <w:t xml:space="preserve">Peak-hour overlap (GitHub telemetry)</w:t>
            </w:r>
          </w:p>
        </w:tc>
      </w:tr>
      <w:tr>
        <w:tc>
          <w:tcPr>
            <w:tcW w:type="dxa" w:w="2840"/>
            <w:gridSpan w:val="2"/>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right"/>
            </w:pPr>
            <w:r>
              <w:rPr>
                <w:rFonts w:ascii="Times New Roman" w:cs="Times New Roman" w:eastAsia="Times New Roman" w:hAnsi="Times New Roman"/>
                <w:b/>
                <w:bCs/>
                <w:color w:val="1F3864"/>
                <w:sz w:val="18"/>
                <w:szCs w:val="18"/>
              </w:rPr>
              <w:t xml:space="preserve">Total weight</w:t>
            </w:r>
          </w:p>
        </w:tc>
        <w:tc>
          <w:tcPr>
            <w:tcW w:type="dxa" w:w="7240"/>
            <w:gridSpan w:val="2"/>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Times New Roman" w:cs="Times New Roman" w:eastAsia="Times New Roman" w:hAnsi="Times New Roman"/>
                <w:b/>
                <w:bCs/>
                <w:color w:val="1F3864"/>
                <w:sz w:val="18"/>
                <w:szCs w:val="18"/>
              </w:rPr>
              <w:t xml:space="preserve">36 points</w:t>
            </w:r>
          </w:p>
        </w:tc>
      </w:tr>
    </w:tbl>
    <w:p>
      <w:pPr>
        <w:spacing w:after="140" w:before="80"/>
      </w:pPr>
    </w:p>
    <w:p>
      <w:pPr>
        <w:spacing w:after="40" w:before="120"/>
      </w:pPr>
      <w:r>
        <w:rPr>
          <w:rFonts w:ascii="Times New Roman" w:cs="Times New Roman" w:eastAsia="Times New Roman" w:hAnsi="Times New Roman"/>
          <w:b/>
          <w:bCs/>
          <w:i/>
          <w:iCs/>
          <w:sz w:val="20"/>
          <w:szCs w:val="20"/>
        </w:rPr>
        <w:t xml:space="preserve">Per-dimension scoring:</w:t>
      </w:r>
    </w:p>
    <w:p>
      <w:pPr>
        <w:spacing w:after="100" w:before="0" w:line="276" w:lineRule="auto"/>
        <w:jc w:val="both"/>
      </w:pPr>
      <w:r>
        <w:rPr>
          <w:rFonts w:ascii="Times New Roman" w:cs="Times New Roman" w:eastAsia="Times New Roman" w:hAnsi="Times New Roman"/>
          <w:sz w:val="20"/>
          <w:szCs w:val="20"/>
        </w:rPr>
        <w:t xml:space="preserve">For dimension d, let s_a^d, s_b^d ∈ [0, w_d] be the dimension scores for developers a and b:</w:t>
      </w:r>
    </w:p>
    <w:p>
      <w:pPr>
        <w:spacing w:after="80" w:before="80"/>
        <w:jc w:val="center"/>
      </w:pPr>
      <w:r>
        <w:rPr>
          <w:rFonts w:ascii="Cambria Math" w:cs="Cambria Math" w:eastAsia="Cambria Math" w:hAnsi="Cambria Math"/>
          <w:i/>
          <w:iCs/>
          <w:sz w:val="20"/>
          <w:szCs w:val="20"/>
        </w:rPr>
        <w:t xml:space="preserve">sim_d = max(0,  1 − |s_a^d − s_b^d| / w_d),   score_d = round(sim_d · w_d, 2)   … (5)</w:t>
      </w:r>
    </w:p>
    <w:p>
      <w:pPr>
        <w:spacing w:after="100" w:before="0" w:line="276" w:lineRule="auto"/>
        <w:jc w:val="both"/>
      </w:pPr>
      <w:r>
        <w:rPr>
          <w:rFonts w:ascii="Times New Roman" w:cs="Times New Roman" w:eastAsia="Times New Roman" w:hAnsi="Times New Roman"/>
          <w:sz w:val="20"/>
          <w:szCs w:val="20"/>
        </w:rPr>
        <w:t xml:space="preserve">If either score is missing, the neutral midpoint w_d × 0.5 is substituted and dimension d is added to the data-gap set G.</w:t>
      </w:r>
    </w:p>
    <w:p>
      <w:pPr>
        <w:spacing w:after="40" w:before="120"/>
      </w:pPr>
      <w:r>
        <w:rPr>
          <w:rFonts w:ascii="Times New Roman" w:cs="Times New Roman" w:eastAsia="Times New Roman" w:hAnsi="Times New Roman"/>
          <w:b/>
          <w:bCs/>
          <w:i/>
          <w:iCs/>
          <w:sz w:val="20"/>
          <w:szCs w:val="20"/>
        </w:rPr>
        <w:t xml:space="preserve">Aggregation and classification:</w:t>
      </w:r>
    </w:p>
    <w:p>
      <w:pPr>
        <w:spacing w:after="80" w:before="80"/>
        <w:jc w:val="center"/>
      </w:pPr>
      <w:r>
        <w:rPr>
          <w:rFonts w:ascii="Cambria Math" w:cs="Cambria Math" w:eastAsia="Cambria Math" w:hAnsi="Cambria Math"/>
          <w:i/>
          <w:iCs/>
          <w:sz w:val="20"/>
          <w:szCs w:val="20"/>
        </w:rPr>
        <w:t xml:space="preserve">S_total = Σ_(d=1)^8  score_d  ∈ [0, 36],   S_% = (S_total / 36) × 100   … (6)</w:t>
      </w:r>
    </w:p>
    <w:p>
      <w:pPr>
        <w:spacing w:after="100" w:before="0" w:line="276" w:lineRule="auto"/>
        <w:jc w:val="both"/>
      </w:pPr>
      <w:r>
        <w:rPr>
          <w:rFonts w:ascii="Times New Roman" w:cs="Times New Roman" w:eastAsia="Times New Roman" w:hAnsi="Times New Roman"/>
          <w:sz w:val="20"/>
          <w:szCs w:val="20"/>
        </w:rPr>
        <w:t xml:space="preserve">Level classification: S_total ≥ 28 → </w:t>
      </w:r>
      <w:r>
        <w:rPr>
          <w:rFonts w:ascii="Times New Roman" w:cs="Times New Roman" w:eastAsia="Times New Roman" w:hAnsi="Times New Roman"/>
          <w:i/>
          <w:iCs/>
          <w:sz w:val="20"/>
          <w:szCs w:val="20"/>
        </w:rPr>
        <w:t xml:space="preserve">excellent</w:t>
      </w:r>
      <w:r>
        <w:rPr>
          <w:rFonts w:ascii="Times New Roman" w:cs="Times New Roman" w:eastAsia="Times New Roman" w:hAnsi="Times New Roman"/>
          <w:sz w:val="20"/>
          <w:szCs w:val="20"/>
        </w:rPr>
        <w:t xml:space="preserve">; ≥ 20 → </w:t>
      </w:r>
      <w:r>
        <w:rPr>
          <w:rFonts w:ascii="Times New Roman" w:cs="Times New Roman" w:eastAsia="Times New Roman" w:hAnsi="Times New Roman"/>
          <w:i/>
          <w:iCs/>
          <w:sz w:val="20"/>
          <w:szCs w:val="20"/>
        </w:rPr>
        <w:t xml:space="preserve">good</w:t>
      </w:r>
      <w:r>
        <w:rPr>
          <w:rFonts w:ascii="Times New Roman" w:cs="Times New Roman" w:eastAsia="Times New Roman" w:hAnsi="Times New Roman"/>
          <w:sz w:val="20"/>
          <w:szCs w:val="20"/>
        </w:rPr>
        <w:t xml:space="preserve">; ≥ 12 → </w:t>
      </w:r>
      <w:r>
        <w:rPr>
          <w:rFonts w:ascii="Times New Roman" w:cs="Times New Roman" w:eastAsia="Times New Roman" w:hAnsi="Times New Roman"/>
          <w:i/>
          <w:iCs/>
          <w:sz w:val="20"/>
          <w:szCs w:val="20"/>
        </w:rPr>
        <w:t xml:space="preserve">fair</w:t>
      </w:r>
      <w:r>
        <w:rPr>
          <w:rFonts w:ascii="Times New Roman" w:cs="Times New Roman" w:eastAsia="Times New Roman" w:hAnsi="Times New Roman"/>
          <w:sz w:val="20"/>
          <w:szCs w:val="20"/>
        </w:rPr>
        <w:t xml:space="preserve">; &lt; 12 → </w:t>
      </w:r>
      <w:r>
        <w:rPr>
          <w:rFonts w:ascii="Times New Roman" w:cs="Times New Roman" w:eastAsia="Times New Roman" w:hAnsi="Times New Roman"/>
          <w:i/>
          <w:iCs/>
          <w:sz w:val="20"/>
          <w:szCs w:val="20"/>
        </w:rPr>
        <w:t xml:space="preserve">poor</w:t>
      </w:r>
      <w:r>
        <w:rPr>
          <w:rFonts w:ascii="Times New Roman" w:cs="Times New Roman" w:eastAsia="Times New Roman" w:hAnsi="Times New Roman"/>
          <w:sz w:val="20"/>
          <w:szCs w:val="20"/>
        </w:rPr>
        <w:t xml:space="preserve">. A risk flag is raised for dimension d when score_d &lt; 0.5 · w_d.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4032" w:hRule="exact"/>
        </w:trPr>
        <w:tc>
          <w:tcPr>
            <w:tcW w:type="dxa" w:w="10080"/>
            <w:tcBorders>
              <w:top w:val="single" w:color="2E5496" w:sz="4"/>
              <w:left w:val="single" w:color="2E5496" w:sz="4"/>
              <w:bottom w:val="single" w:color="2E5496" w:sz="4"/>
              <w:right w:val="single" w:color="2E5496" w:sz="4"/>
            </w:tcBorders>
            <w:shd w:fill="EEF4FB"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2E5496"/>
                <w:sz w:val="22"/>
                <w:szCs w:val="22"/>
              </w:rPr>
              <w:t xml:space="preserve">[FIGURE 3]</w:t>
            </w:r>
          </w:p>
          <w:p>
            <w:pPr>
              <w:spacing w:before="80"/>
              <w:jc w:val="center"/>
            </w:pPr>
            <w:r>
              <w:rPr>
                <w:rFonts w:ascii="Times New Roman" w:cs="Times New Roman" w:eastAsia="Times New Roman" w:hAnsi="Times New Roman"/>
                <w:i/>
                <w:iCs/>
                <w:color w:val="595959"/>
                <w:sz w:val="18"/>
                <w:szCs w:val="18"/>
              </w:rPr>
              <w:t xml:space="preserve">Replace with figure image or TikZ export.</w:t>
            </w:r>
          </w:p>
        </w:tc>
      </w:tr>
    </w:tbl>
    <w:p>
      <w:pPr>
        <w:spacing w:after="200" w:before="10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Sample pairwise compatibility profile on the eight behavioral dimensions. Each axis spans [0, w_d]. Shaded regions show per-developer scores; the overlap area corresponds to shared behavioral terrain. Axes falling below the 0.5·w_d threshold (dashed ring) are flagged as compatibility risks.</w:t>
      </w:r>
    </w:p>
    <w:p>
      <w:pPr>
        <w:pStyle w:val="Heading2"/>
        <w:spacing w:after="60" w:before="180"/>
      </w:pPr>
      <w:r>
        <w:rPr>
          <w:rFonts w:ascii="Times New Roman" w:cs="Times New Roman" w:eastAsia="Times New Roman" w:hAnsi="Times New Roman"/>
          <w:b/>
          <w:bCs/>
          <w:color w:val="2E5496"/>
          <w:sz w:val="20"/>
          <w:szCs w:val="20"/>
        </w:rPr>
        <w:t xml:space="preserve">C. </w:t>
      </w:r>
      <w:r>
        <w:rPr>
          <w:rFonts w:ascii="Times New Roman" w:cs="Times New Roman" w:eastAsia="Times New Roman" w:hAnsi="Times New Roman"/>
          <w:i/>
          <w:iCs/>
          <w:color w:val="000000"/>
          <w:sz w:val="20"/>
          <w:szCs w:val="20"/>
        </w:rPr>
        <w:t xml:space="preserve">Adaptive Question Engine (CAT Early-Stop)</w:t>
      </w:r>
    </w:p>
    <w:p>
      <w:pPr>
        <w:spacing w:after="100" w:before="0" w:line="276" w:lineRule="auto"/>
        <w:jc w:val="both"/>
      </w:pPr>
      <w:r>
        <w:rPr>
          <w:rFonts w:ascii="Times New Roman" w:cs="Times New Roman" w:eastAsia="Times New Roman" w:hAnsi="Times New Roman"/>
          <w:sz w:val="20"/>
          <w:szCs w:val="20"/>
        </w:rPr>
        <w:t xml:space="preserve">To minimize respondent fatigue, the eight-item psychometric battery is administered as a Computerized Adaptive Test [18]. Dimension 8 (Chronotype Sync) is pre-populated from GitHub data and never presented as a question. The remaining seven questions are offered in descending weight order. Assessment terminates at the first checkpoint satisfying:</w:t>
      </w:r>
    </w:p>
    <w:p>
      <w:pPr>
        <w:spacing w:after="80" w:before="80"/>
        <w:jc w:val="center"/>
      </w:pPr>
      <w:r>
        <w:rPr>
          <w:rFonts w:ascii="Cambria Math" w:cs="Cambria Math" w:eastAsia="Cambria Math" w:hAnsi="Cambria Math"/>
          <w:i/>
          <w:iCs/>
          <w:sz w:val="20"/>
          <w:szCs w:val="20"/>
        </w:rPr>
        <w:t xml:space="preserve">(n_ans ≥ 4)  AND  (Σ_(d∈ans) w_d / 36 ≥ 0.70)  AND  (∀ d ∉ ans: w_d &lt; 4)   … (7)</w:t>
      </w:r>
    </w:p>
    <w:p>
      <w:pPr>
        <w:spacing w:after="100" w:before="0" w:line="276" w:lineRule="auto"/>
        <w:jc w:val="both"/>
      </w:pPr>
      <w:r>
        <w:rPr>
          <w:rFonts w:ascii="Times New Roman" w:cs="Times New Roman" w:eastAsia="Times New Roman" w:hAnsi="Times New Roman"/>
          <w:sz w:val="20"/>
          <w:szCs w:val="20"/>
        </w:rPr>
        <w:t xml:space="preserve">The third clause ensures dimensions 5–8 (Decision Style, Risk Tolerance, Stress Response, Chronotype Sync) are never left unanswered. Since Chronotype Sync is GitHub-populated, the practical minimum adaptive session length is three answered questions.</w:t>
      </w:r>
    </w:p>
    <w:p>
      <w:pPr>
        <w:pStyle w:val="Heading2"/>
        <w:spacing w:after="60" w:before="180"/>
      </w:pPr>
      <w:r>
        <w:rPr>
          <w:rFonts w:ascii="Times New Roman" w:cs="Times New Roman" w:eastAsia="Times New Roman" w:hAnsi="Times New Roman"/>
          <w:b/>
          <w:bCs/>
          <w:color w:val="2E5496"/>
          <w:sz w:val="20"/>
          <w:szCs w:val="20"/>
        </w:rPr>
        <w:t xml:space="preserve">D. </w:t>
      </w:r>
      <w:r>
        <w:rPr>
          <w:rFonts w:ascii="Times New Roman" w:cs="Times New Roman" w:eastAsia="Times New Roman" w:hAnsi="Times New Roman"/>
          <w:i/>
          <w:iCs/>
          <w:color w:val="000000"/>
          <w:sz w:val="20"/>
          <w:szCs w:val="20"/>
        </w:rPr>
        <w:t xml:space="preserve">Monte Carlo Candidate Simulation</w:t>
      </w:r>
    </w:p>
    <w:p>
      <w:pPr>
        <w:spacing w:after="100" w:before="0" w:line="276" w:lineRule="auto"/>
        <w:jc w:val="both"/>
      </w:pPr>
      <w:r>
        <w:rPr>
          <w:rFonts w:ascii="Times New Roman" w:cs="Times New Roman" w:eastAsia="Times New Roman" w:hAnsi="Times New Roman"/>
          <w:b/>
          <w:bCs/>
          <w:sz w:val="20"/>
          <w:szCs w:val="20"/>
        </w:rPr>
        <w:t xml:space="preserve">Setup. </w:t>
      </w:r>
      <w:r>
        <w:rPr>
          <w:rFonts w:ascii="Times New Roman" w:cs="Times New Roman" w:eastAsia="Times New Roman" w:hAnsi="Times New Roman"/>
          <w:sz w:val="20"/>
          <w:szCs w:val="20"/>
        </w:rPr>
        <w:t xml:space="preserve">Given team T = {t₁, …, t_m} with known behavioral profiles, define the baseline score:</w:t>
      </w:r>
    </w:p>
    <w:p>
      <w:pPr>
        <w:spacing w:after="80" w:before="80"/>
        <w:jc w:val="center"/>
      </w:pPr>
      <w:r>
        <w:rPr>
          <w:rFonts w:ascii="Cambria Math" w:cs="Cambria Math" w:eastAsia="Cambria Math" w:hAnsi="Cambria Math"/>
          <w:i/>
          <w:iCs/>
          <w:sz w:val="20"/>
          <w:szCs w:val="20"/>
        </w:rPr>
        <w:t xml:space="preserve">S_base = (1 / C(m,2)) · Σ_{a,b ⊆ T} S_total(a, b)   … (8)</w:t>
      </w:r>
    </w:p>
    <w:p>
      <w:pPr>
        <w:spacing w:after="100" w:before="0" w:line="276" w:lineRule="auto"/>
        <w:jc w:val="both"/>
      </w:pPr>
      <w:r>
        <w:rPr>
          <w:rFonts w:ascii="Times New Roman" w:cs="Times New Roman" w:eastAsia="Times New Roman" w:hAnsi="Times New Roman"/>
          <w:b/>
          <w:bCs/>
          <w:sz w:val="20"/>
          <w:szCs w:val="20"/>
        </w:rPr>
        <w:t xml:space="preserve">Weak dimensions. </w:t>
      </w:r>
      <w:r>
        <w:rPr>
          <w:rFonts w:ascii="Times New Roman" w:cs="Times New Roman" w:eastAsia="Times New Roman" w:hAnsi="Times New Roman"/>
          <w:sz w:val="20"/>
          <w:szCs w:val="20"/>
        </w:rPr>
        <w:t xml:space="preserve">Dimension d is weak if the team mean score falls below half the dimension maximum: s̄_d &lt; 0.5 · w_d.</w:t>
      </w:r>
    </w:p>
    <w:p>
      <w:pPr>
        <w:spacing w:after="100" w:before="0" w:line="276" w:lineRule="auto"/>
        <w:jc w:val="both"/>
      </w:pPr>
      <w:r>
        <w:rPr>
          <w:rFonts w:ascii="Times New Roman" w:cs="Times New Roman" w:eastAsia="Times New Roman" w:hAnsi="Times New Roman"/>
          <w:b/>
          <w:bCs/>
          <w:sz w:val="20"/>
          <w:szCs w:val="20"/>
        </w:rPr>
        <w:t xml:space="preserve">Sampling. </w:t>
      </w:r>
      <w:r>
        <w:rPr>
          <w:rFonts w:ascii="Times New Roman" w:cs="Times New Roman" w:eastAsia="Times New Roman" w:hAnsi="Times New Roman"/>
          <w:sz w:val="20"/>
          <w:szCs w:val="20"/>
        </w:rPr>
        <w:t xml:space="preserve">Over N = 1,000 iterations (seed = 42), candidate profile c ∈ ℝ⁸ is sampled as:</w:t>
      </w:r>
    </w:p>
    <w:p>
      <w:pPr>
        <w:spacing w:after="80" w:before="80"/>
        <w:jc w:val="center"/>
      </w:pPr>
      <w:r>
        <w:rPr>
          <w:rFonts w:ascii="Cambria Math" w:cs="Cambria Math" w:eastAsia="Cambria Math" w:hAnsi="Cambria Math"/>
          <w:i/>
          <w:iCs/>
          <w:sz w:val="20"/>
          <w:szCs w:val="20"/>
        </w:rPr>
        <w:t xml:space="preserve">c_d ~ Uniform(0.5·w_d, w_d)  if d ∈ weak;   c_d ~ Uniform(0, w_d)  otherwise   … (9)</w:t>
      </w:r>
    </w:p>
    <w:p>
      <w:pPr>
        <w:spacing w:after="100" w:before="0" w:line="276" w:lineRule="auto"/>
        <w:jc w:val="both"/>
      </w:pPr>
      <w:r>
        <w:rPr>
          <w:rFonts w:ascii="Times New Roman" w:cs="Times New Roman" w:eastAsia="Times New Roman" w:hAnsi="Times New Roman"/>
          <w:b/>
          <w:bCs/>
          <w:sz w:val="20"/>
          <w:szCs w:val="20"/>
        </w:rPr>
        <w:t xml:space="preserve">Selection. </w:t>
      </w:r>
      <w:r>
        <w:rPr>
          <w:rFonts w:ascii="Times New Roman" w:cs="Times New Roman" w:eastAsia="Times New Roman" w:hAnsi="Times New Roman"/>
          <w:sz w:val="20"/>
          <w:szCs w:val="20"/>
        </w:rPr>
        <w:t xml:space="preserve">The returned profile c* maximizes the mean pairwise compatibility between the candidate and existing team members. The output is a human-interpretable behavioral profile vector that engineering managers may use as a structured hiring rubric.</w:t>
      </w:r>
    </w:p>
    <w:p>
      <w:pPr>
        <w:spacing w:after="40" w:before="160"/>
      </w:pPr>
      <w:r>
        <w:rPr>
          <w:rFonts w:ascii="Times New Roman" w:cs="Times New Roman" w:eastAsia="Times New Roman" w:hAnsi="Times New Roman"/>
          <w:b/>
          <w:bCs/>
          <w:color w:val="1F3864"/>
          <w:sz w:val="20"/>
          <w:szCs w:val="20"/>
        </w:rPr>
        <w:t xml:space="preserve">Algorithm 2: Monte Carlo Team-Complement Simulation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5496" w:sz="4"/>
              <w:left w:val="single" w:color="2E5496" w:sz="4"/>
              <w:bottom w:val="single" w:color="2E5496" w:sz="4"/>
              <w:right w:val="single" w:color="2E5496" w:sz="4"/>
            </w:tcBorders>
            <w:shd w:fill="F5F8FC" w:val="clear"/>
            <w:tcMar>
              <w:top w:type="dxa" w:w="120"/>
              <w:left w:type="dxa" w:w="240"/>
              <w:bottom w:type="dxa" w:w="120"/>
              <w:right w:type="dxa" w:w="240"/>
            </w:tcMar>
          </w:tcPr>
          <w:p>
            <w:pPr>
              <w:spacing w:after="0" w:before="0" w:line="240" w:lineRule="auto"/>
              <w:ind w:left="720" w:hanging="0"/>
            </w:pPr>
            <w:r>
              <w:rPr>
                <w:rFonts w:ascii="Courier New" w:cs="Courier New" w:eastAsia="Courier New" w:hAnsi="Courier New"/>
                <w:sz w:val="18"/>
                <w:szCs w:val="18"/>
              </w:rPr>
              <w:t xml:space="preserve">Input:  Team T, iterations N = 1000, seed = 42</w:t>
            </w:r>
          </w:p>
          <w:p>
            <w:pPr>
              <w:spacing w:after="0" w:before="0" w:line="240" w:lineRule="auto"/>
              <w:ind w:left="720" w:hanging="0"/>
            </w:pPr>
            <w:r>
              <w:rPr>
                <w:rFonts w:ascii="Courier New" w:cs="Courier New" w:eastAsia="Courier New" w:hAnsi="Courier New"/>
                <w:sz w:val="18"/>
                <w:szCs w:val="18"/>
              </w:rPr>
              <w:t xml:space="preserve">Output: Optimal candidate profile c*, score improvement</w:t>
            </w:r>
          </w:p>
          <w:p>
            <w:pPr>
              <w:spacing w:after="0" w:before="0" w:line="240" w:lineRule="auto"/>
              <w:ind w:left="720" w:hanging="0"/>
            </w:pPr>
            <w:r>
              <w:rPr>
                <w:rFonts w:ascii="Courier New" w:cs="Courier New" w:eastAsia="Courier New" w:hAnsi="Courier New"/>
                <w:sz w:val="18"/>
                <w:szCs w:val="18"/>
              </w:rPr>
              <w:t xml:space="preserve">─────────────────────────────────────────────────────────</w:t>
            </w:r>
          </w:p>
          <w:p>
            <w:pPr>
              <w:spacing w:after="0" w:before="0" w:line="240" w:lineRule="auto"/>
              <w:ind w:left="720" w:hanging="0"/>
            </w:pPr>
            <w:r>
              <w:rPr>
                <w:rFonts w:ascii="Courier New" w:cs="Courier New" w:eastAsia="Courier New" w:hAnsi="Courier New"/>
                <w:sz w:val="18"/>
                <w:szCs w:val="18"/>
              </w:rPr>
              <w:t xml:space="preserve">1:  S_base ← mean pairwise score of T  [Eq. 8]</w:t>
            </w:r>
          </w:p>
          <w:p>
            <w:pPr>
              <w:spacing w:after="0" w:before="0" w:line="240" w:lineRule="auto"/>
              <w:ind w:left="720" w:hanging="0"/>
            </w:pPr>
            <w:r>
              <w:rPr>
                <w:rFonts w:ascii="Courier New" w:cs="Courier New" w:eastAsia="Courier New" w:hAnsi="Courier New"/>
                <w:sz w:val="18"/>
                <w:szCs w:val="18"/>
              </w:rPr>
              <w:t xml:space="preserve">2:  W ← {d : s̄_d &lt; 0.5 · w_d}   ▷ weak dimensions</w:t>
            </w:r>
          </w:p>
          <w:p>
            <w:pPr>
              <w:spacing w:after="0" w:before="0" w:line="240" w:lineRule="auto"/>
              <w:ind w:left="720" w:hanging="0"/>
            </w:pPr>
            <w:r>
              <w:rPr>
                <w:rFonts w:ascii="Courier New" w:cs="Courier New" w:eastAsia="Courier New" w:hAnsi="Courier New"/>
                <w:sz w:val="18"/>
                <w:szCs w:val="18"/>
              </w:rPr>
              <w:t xml:space="preserve">3:  c* ← 0;   S* ← −∞</w:t>
            </w:r>
          </w:p>
          <w:p>
            <w:pPr>
              <w:spacing w:after="0" w:before="0" w:line="240" w:lineRule="auto"/>
              <w:ind w:left="720" w:hanging="0"/>
            </w:pPr>
            <w:r>
              <w:rPr>
                <w:rFonts w:ascii="Courier New" w:cs="Courier New" w:eastAsia="Courier New" w:hAnsi="Courier New"/>
                <w:sz w:val="18"/>
                <w:szCs w:val="18"/>
              </w:rPr>
              <w:t xml:space="preserve">4:  for i = 1 to N do</w:t>
            </w:r>
          </w:p>
          <w:p>
            <w:pPr>
              <w:spacing w:after="0" w:before="0" w:line="240" w:lineRule="auto"/>
              <w:ind w:left="130320" w:hanging="0"/>
            </w:pPr>
            <w:r>
              <w:rPr>
                <w:rFonts w:ascii="Courier New" w:cs="Courier New" w:eastAsia="Courier New" w:hAnsi="Courier New"/>
                <w:sz w:val="18"/>
                <w:szCs w:val="18"/>
              </w:rPr>
              <w:t xml:space="preserve">5:      Sample c via Eq. 9</w:t>
            </w:r>
          </w:p>
          <w:p>
            <w:pPr>
              <w:spacing w:after="0" w:before="0" w:line="240" w:lineRule="auto"/>
              <w:ind w:left="130320" w:hanging="0"/>
            </w:pPr>
            <w:r>
              <w:rPr>
                <w:rFonts w:ascii="Courier New" w:cs="Courier New" w:eastAsia="Courier New" w:hAnsi="Courier New"/>
                <w:sz w:val="18"/>
                <w:szCs w:val="18"/>
              </w:rPr>
              <w:t xml:space="preserve">6:      S̄ ← (1/m) · Σ_{t ∈ T} S_total(c, t)</w:t>
            </w:r>
          </w:p>
          <w:p>
            <w:pPr>
              <w:spacing w:after="0" w:before="0" w:line="240" w:lineRule="auto"/>
              <w:ind w:left="130320" w:hanging="0"/>
            </w:pPr>
            <w:r>
              <w:rPr>
                <w:rFonts w:ascii="Courier New" w:cs="Courier New" w:eastAsia="Courier New" w:hAnsi="Courier New"/>
                <w:sz w:val="18"/>
                <w:szCs w:val="18"/>
              </w:rPr>
              <w:t xml:space="preserve">7:      if S̄ &gt; S* then  c* ← c;  S* ← S̄</w:t>
            </w:r>
          </w:p>
          <w:p>
            <w:pPr>
              <w:spacing w:after="0" w:before="0" w:line="240" w:lineRule="auto"/>
              <w:ind w:left="720" w:hanging="0"/>
            </w:pPr>
            <w:r>
              <w:rPr>
                <w:rFonts w:ascii="Courier New" w:cs="Courier New" w:eastAsia="Courier New" w:hAnsi="Courier New"/>
                <w:sz w:val="18"/>
                <w:szCs w:val="18"/>
              </w:rPr>
              <w:t xml:space="preserve">8:  return c*,  (S* − S_base)</w:t>
            </w:r>
          </w:p>
        </w:tc>
      </w:tr>
    </w:tbl>
    <w:p>
      <w:pPr>
        <w:spacing w:after="200" w:before="80"/>
      </w:pPr>
    </w:p>
    <w:p>
      <w:pPr>
        <w:pBdr>
          <w:bottom w:val="single" w:color="2E5496" w:sz="8" w:space="1"/>
        </w:pBdr>
        <w:spacing w:after="0" w:before="0"/>
      </w:pPr>
    </w:p>
    <w:p>
      <w:pPr>
        <w:pStyle w:val="Heading1"/>
        <w:spacing w:after="80" w:before="260"/>
      </w:pPr>
      <w:r>
        <w:rPr>
          <w:rFonts w:ascii="Times New Roman" w:cs="Times New Roman" w:eastAsia="Times New Roman" w:hAnsi="Times New Roman"/>
          <w:b/>
          <w:bCs/>
          <w:color w:val="1F3864"/>
          <w:sz w:val="22"/>
          <w:szCs w:val="22"/>
        </w:rPr>
        <w:t xml:space="preserve">IV.  EVALUATION METHODOLOGY</w:t>
      </w:r>
    </w:p>
    <w:p>
      <w:pPr>
        <w:pStyle w:val="Heading2"/>
        <w:spacing w:after="60" w:before="180"/>
      </w:pPr>
      <w:r>
        <w:rPr>
          <w:rFonts w:ascii="Times New Roman" w:cs="Times New Roman" w:eastAsia="Times New Roman" w:hAnsi="Times New Roman"/>
          <w:b/>
          <w:bCs/>
          <w:color w:val="2E5496"/>
          <w:sz w:val="20"/>
          <w:szCs w:val="20"/>
        </w:rPr>
        <w:t xml:space="preserve">A. </w:t>
      </w:r>
      <w:r>
        <w:rPr>
          <w:rFonts w:ascii="Times New Roman" w:cs="Times New Roman" w:eastAsia="Times New Roman" w:hAnsi="Times New Roman"/>
          <w:i/>
          <w:iCs/>
          <w:color w:val="000000"/>
          <w:sz w:val="20"/>
          <w:szCs w:val="20"/>
        </w:rPr>
        <w:t xml:space="preserve">Dataset Construction</w:t>
      </w:r>
    </w:p>
    <w:p>
      <w:pPr>
        <w:spacing w:after="100" w:before="0" w:line="276" w:lineRule="auto"/>
        <w:jc w:val="both"/>
      </w:pPr>
      <w:r>
        <w:rPr>
          <w:rFonts w:ascii="Times New Roman" w:cs="Times New Roman" w:eastAsia="Times New Roman" w:hAnsi="Times New Roman"/>
          <w:sz w:val="20"/>
          <w:szCs w:val="20"/>
        </w:rPr>
        <w:t xml:space="preserve">We evaluate chronotype detection using publicly available GitHub profiles with MEQ-validated ground truth. Participants were recruited by </w:t>
      </w:r>
      <w:r>
        <w:rPr>
          <w:rFonts w:ascii="Times New Roman" w:cs="Times New Roman" w:eastAsia="Times New Roman" w:hAnsi="Times New Roman"/>
          <w:b/>
          <w:bCs/>
          <w:color w:val="C00000"/>
          <w:sz w:val="20"/>
          <w:szCs w:val="20"/>
        </w:rPr>
        <w:t xml:space="preserve">[TODO: describe recruitment channel]</w:t>
      </w:r>
      <w:r>
        <w:rPr>
          <w:rFonts w:ascii="Times New Roman" w:cs="Times New Roman" w:eastAsia="Times New Roman" w:hAnsi="Times New Roman"/>
          <w:sz w:val="20"/>
          <w:szCs w:val="20"/>
        </w:rPr>
        <w:t xml:space="preserve">, yielding </w:t>
      </w:r>
      <w:r>
        <w:rPr>
          <w:rFonts w:ascii="Times New Roman" w:cs="Times New Roman" w:eastAsia="Times New Roman" w:hAnsi="Times New Roman"/>
          <w:b/>
          <w:bCs/>
          <w:color w:val="C00000"/>
          <w:sz w:val="20"/>
          <w:szCs w:val="20"/>
        </w:rPr>
        <w:t xml:space="preserve">[N]</w:t>
      </w:r>
      <w:r>
        <w:rPr>
          <w:rFonts w:ascii="Times New Roman" w:cs="Times New Roman" w:eastAsia="Times New Roman" w:hAnsi="Times New Roman"/>
          <w:sz w:val="20"/>
          <w:szCs w:val="20"/>
        </w:rPr>
        <w:t xml:space="preserve"> developer profiles, each linked to a GitHub username.</w:t>
      </w:r>
    </w:p>
    <w:p>
      <w:pPr>
        <w:spacing w:after="100" w:before="0" w:line="276" w:lineRule="auto"/>
        <w:jc w:val="both"/>
      </w:pPr>
      <w:r>
        <w:rPr>
          <w:rFonts w:ascii="Times New Roman" w:cs="Times New Roman" w:eastAsia="Times New Roman" w:hAnsi="Times New Roman"/>
          <w:b/>
          <w:bCs/>
          <w:sz w:val="20"/>
          <w:szCs w:val="20"/>
        </w:rPr>
        <w:t xml:space="preserve">Inclusion criteria. </w:t>
      </w:r>
      <w:r>
        <w:rPr>
          <w:rFonts w:ascii="Times New Roman" w:cs="Times New Roman" w:eastAsia="Times New Roman" w:hAnsi="Times New Roman"/>
          <w:sz w:val="20"/>
          <w:szCs w:val="20"/>
        </w:rPr>
        <w:t xml:space="preserve">Profiles must satisfy: (i) ≥ 50 commits in the prior 90 days, ensuring sufficient data for K-Means to converge; (ii) activity across ≥ 3 distinct repositories, reducing project-specific scheduling artifacts; and (iii) verified timezone in the GitHub profile.</w:t>
      </w:r>
    </w:p>
    <w:p>
      <w:pPr>
        <w:spacing w:after="100" w:before="0" w:line="276" w:lineRule="auto"/>
        <w:jc w:val="both"/>
      </w:pPr>
      <w:r>
        <w:rPr>
          <w:rFonts w:ascii="Times New Roman" w:cs="Times New Roman" w:eastAsia="Times New Roman" w:hAnsi="Times New Roman"/>
          <w:b/>
          <w:bCs/>
          <w:sz w:val="20"/>
          <w:szCs w:val="20"/>
        </w:rPr>
        <w:t xml:space="preserve">Ground-truth alignment. </w:t>
      </w:r>
      <w:r>
        <w:rPr>
          <w:rFonts w:ascii="Times New Roman" w:cs="Times New Roman" w:eastAsia="Times New Roman" w:hAnsi="Times New Roman"/>
          <w:sz w:val="20"/>
          <w:szCs w:val="20"/>
        </w:rPr>
        <w:t xml:space="preserve">MEQ scores are mapped to three coarse labels compatible with our four-category scheme: Morning-type (MEQ 59–86 → lark), Neither-type (MEQ 42–58 → daytime or flexible), and Evening-type (MEQ 16–41 → owl or evening).</w:t>
      </w:r>
    </w:p>
    <w:p>
      <w:pPr>
        <w:pStyle w:val="Heading2"/>
        <w:spacing w:after="60" w:before="180"/>
      </w:pPr>
      <w:r>
        <w:rPr>
          <w:rFonts w:ascii="Times New Roman" w:cs="Times New Roman" w:eastAsia="Times New Roman" w:hAnsi="Times New Roman"/>
          <w:b/>
          <w:bCs/>
          <w:color w:val="2E5496"/>
          <w:sz w:val="20"/>
          <w:szCs w:val="20"/>
        </w:rPr>
        <w:t xml:space="preserve">B. </w:t>
      </w:r>
      <w:r>
        <w:rPr>
          <w:rFonts w:ascii="Times New Roman" w:cs="Times New Roman" w:eastAsia="Times New Roman" w:hAnsi="Times New Roman"/>
          <w:i/>
          <w:iCs/>
          <w:color w:val="000000"/>
          <w:sz w:val="20"/>
          <w:szCs w:val="20"/>
        </w:rPr>
        <w:t xml:space="preserve">Chronotype Detection: Baselines and Metrics</w:t>
      </w:r>
    </w:p>
    <w:p>
      <w:pPr>
        <w:spacing w:after="100" w:before="0" w:line="276" w:lineRule="auto"/>
        <w:jc w:val="both"/>
      </w:pPr>
      <w:r>
        <w:rPr>
          <w:rFonts w:ascii="Times New Roman" w:cs="Times New Roman" w:eastAsia="Times New Roman" w:hAnsi="Times New Roman"/>
          <w:sz w:val="20"/>
          <w:szCs w:val="20"/>
        </w:rPr>
        <w:t xml:space="preserve">We compare the circular-coordinate K-Means detector against two ablated baselines:</w:t>
      </w:r>
    </w:p>
    <w:p>
      <w:pPr>
        <w:pStyle w:val="ListParagraph"/>
        <w:numPr>
          <w:ilvl w:val="0"/>
          <w:numId w:val="3"/>
        </w:numPr>
        <w:spacing w:after="40" w:before="40" w:line="264"/>
      </w:pPr>
      <w:r>
        <w:rPr>
          <w:rFonts w:ascii="Times New Roman" w:cs="Times New Roman" w:eastAsia="Times New Roman" w:hAnsi="Times New Roman"/>
          <w:b/>
          <w:bCs/>
          <w:sz w:val="20"/>
          <w:szCs w:val="20"/>
        </w:rPr>
        <w:t xml:space="preserve">B1 — Histogram Peak: </w:t>
      </w:r>
      <w:r>
        <w:rPr>
          <w:rFonts w:ascii="Times New Roman" w:cs="Times New Roman" w:eastAsia="Times New Roman" w:hAnsi="Times New Roman"/>
          <w:sz w:val="20"/>
          <w:szCs w:val="20"/>
        </w:rPr>
        <w:t xml:space="preserve">the commit hour with the highest frequency, mapped directly to a chronotype label using the boundaries in Eq. 4. No clustering applied.</w:t>
      </w:r>
    </w:p>
    <w:p>
      <w:pPr>
        <w:pStyle w:val="ListParagraph"/>
        <w:numPr>
          <w:ilvl w:val="0"/>
          <w:numId w:val="3"/>
        </w:numPr>
        <w:spacing w:after="120" w:before="40" w:line="264"/>
      </w:pPr>
      <w:r>
        <w:rPr>
          <w:rFonts w:ascii="Times New Roman" w:cs="Times New Roman" w:eastAsia="Times New Roman" w:hAnsi="Times New Roman"/>
          <w:b/>
          <w:bCs/>
          <w:sz w:val="20"/>
          <w:szCs w:val="20"/>
        </w:rPr>
        <w:t xml:space="preserve">B2 — Linear K-Means: </w:t>
      </w:r>
      <w:r>
        <w:rPr>
          <w:rFonts w:ascii="Times New Roman" w:cs="Times New Roman" w:eastAsia="Times New Roman" w:hAnsi="Times New Roman"/>
          <w:sz w:val="20"/>
          <w:szCs w:val="20"/>
        </w:rPr>
        <w:t xml:space="preserve">K-Means applied to raw hour integers hᵢ (not projected), otherwise identical to the proposed method.</w:t>
      </w:r>
    </w:p>
    <w:p>
      <w:pPr>
        <w:spacing w:after="100" w:before="0" w:line="276" w:lineRule="auto"/>
        <w:jc w:val="both"/>
      </w:pPr>
      <w:r>
        <w:rPr>
          <w:rFonts w:ascii="Times New Roman" w:cs="Times New Roman" w:eastAsia="Times New Roman" w:hAnsi="Times New Roman"/>
          <w:sz w:val="20"/>
          <w:szCs w:val="20"/>
        </w:rPr>
        <w:t xml:space="preserve">We report per-class precision, recall, F1-score, and Cohen's κ for inter-rater agreement with MEQ labels. The comparison B2 vs. proposed isolates the specific contribution of circular projection.</w:t>
      </w:r>
    </w:p>
    <w:p>
      <w:pPr>
        <w:pStyle w:val="Heading2"/>
        <w:spacing w:after="60" w:before="180"/>
      </w:pPr>
      <w:r>
        <w:rPr>
          <w:rFonts w:ascii="Times New Roman" w:cs="Times New Roman" w:eastAsia="Times New Roman" w:hAnsi="Times New Roman"/>
          <w:b/>
          <w:bCs/>
          <w:color w:val="2E5496"/>
          <w:sz w:val="20"/>
          <w:szCs w:val="20"/>
        </w:rPr>
        <w:t xml:space="preserve">C. </w:t>
      </w:r>
      <w:r>
        <w:rPr>
          <w:rFonts w:ascii="Times New Roman" w:cs="Times New Roman" w:eastAsia="Times New Roman" w:hAnsi="Times New Roman"/>
          <w:i/>
          <w:iCs/>
          <w:color w:val="000000"/>
          <w:sz w:val="20"/>
          <w:szCs w:val="20"/>
        </w:rPr>
        <w:t xml:space="preserve">Compatibility Score Face Validity</w:t>
      </w:r>
    </w:p>
    <w:p>
      <w:pPr>
        <w:spacing w:after="100" w:before="0" w:line="276" w:lineRule="auto"/>
        <w:jc w:val="both"/>
      </w:pPr>
      <w:r>
        <w:rPr>
          <w:rFonts w:ascii="Times New Roman" w:cs="Times New Roman" w:eastAsia="Times New Roman" w:hAnsi="Times New Roman"/>
          <w:sz w:val="20"/>
          <w:szCs w:val="20"/>
        </w:rPr>
        <w:t xml:space="preserve">For </w:t>
      </w:r>
      <w:r>
        <w:rPr>
          <w:rFonts w:ascii="Times New Roman" w:cs="Times New Roman" w:eastAsia="Times New Roman" w:hAnsi="Times New Roman"/>
          <w:b/>
          <w:bCs/>
          <w:color w:val="C00000"/>
          <w:sz w:val="20"/>
          <w:szCs w:val="20"/>
        </w:rPr>
        <w:t xml:space="preserve">[N_pairs ≥ 5]</w:t>
      </w:r>
      <w:r>
        <w:rPr>
          <w:rFonts w:ascii="Times New Roman" w:cs="Times New Roman" w:eastAsia="Times New Roman" w:hAnsi="Times New Roman"/>
          <w:sz w:val="20"/>
          <w:szCs w:val="20"/>
        </w:rPr>
        <w:t xml:space="preserve"> developer pairs with a self-reported peer collaboration satisfaction rating (1–5 Likert scale), we compute Pearson correlation r and Spearman's ρ between the GitSyntropy pairwise compatibility score and the satisfaction rating. We report 95% confidence intervals via Fisher's z-transformation.</w:t>
      </w:r>
    </w:p>
    <w:p>
      <w:pPr>
        <w:pStyle w:val="Heading2"/>
        <w:spacing w:after="60" w:before="180"/>
      </w:pPr>
      <w:r>
        <w:rPr>
          <w:rFonts w:ascii="Times New Roman" w:cs="Times New Roman" w:eastAsia="Times New Roman" w:hAnsi="Times New Roman"/>
          <w:b/>
          <w:bCs/>
          <w:color w:val="2E5496"/>
          <w:sz w:val="20"/>
          <w:szCs w:val="20"/>
        </w:rPr>
        <w:t xml:space="preserve">D. </w:t>
      </w:r>
      <w:r>
        <w:rPr>
          <w:rFonts w:ascii="Times New Roman" w:cs="Times New Roman" w:eastAsia="Times New Roman" w:hAnsi="Times New Roman"/>
          <w:i/>
          <w:iCs/>
          <w:color w:val="000000"/>
          <w:sz w:val="20"/>
          <w:szCs w:val="20"/>
        </w:rPr>
        <w:t xml:space="preserve">Monte Carlo Convergence Analysis</w:t>
      </w:r>
    </w:p>
    <w:p>
      <w:pPr>
        <w:spacing w:after="100" w:before="0" w:line="276" w:lineRule="auto"/>
        <w:jc w:val="both"/>
      </w:pPr>
      <w:r>
        <w:rPr>
          <w:rFonts w:ascii="Times New Roman" w:cs="Times New Roman" w:eastAsia="Times New Roman" w:hAnsi="Times New Roman"/>
          <w:sz w:val="20"/>
          <w:szCs w:val="20"/>
        </w:rPr>
        <w:t xml:space="preserve">We run Algorithm 2 at iteration counts N ∈ {100, 200, 500, 1000, 2000} and report mean and standard deviation of best-candidate score improvement across 50 random seeds, establishing the practical convergence point.</w:t>
      </w:r>
    </w:p>
    <w:p>
      <w:pPr>
        <w:pBdr>
          <w:bottom w:val="single" w:color="2E5496" w:sz="8" w:space="1"/>
        </w:pBdr>
        <w:spacing w:after="0" w:before="0"/>
      </w:pPr>
    </w:p>
    <w:p>
      <w:pPr>
        <w:pStyle w:val="Heading1"/>
        <w:spacing w:after="80" w:before="260"/>
      </w:pPr>
      <w:r>
        <w:rPr>
          <w:rFonts w:ascii="Times New Roman" w:cs="Times New Roman" w:eastAsia="Times New Roman" w:hAnsi="Times New Roman"/>
          <w:b/>
          <w:bCs/>
          <w:color w:val="1F3864"/>
          <w:sz w:val="22"/>
          <w:szCs w:val="22"/>
        </w:rPr>
        <w:t xml:space="preserve">V.  RESULTS</w:t>
      </w:r>
    </w:p>
    <w:p>
      <w:pPr>
        <w:pStyle w:val="Heading2"/>
        <w:spacing w:after="60" w:before="180"/>
      </w:pPr>
      <w:r>
        <w:rPr>
          <w:rFonts w:ascii="Times New Roman" w:cs="Times New Roman" w:eastAsia="Times New Roman" w:hAnsi="Times New Roman"/>
          <w:b/>
          <w:bCs/>
          <w:color w:val="2E5496"/>
          <w:sz w:val="20"/>
          <w:szCs w:val="20"/>
        </w:rPr>
        <w:t xml:space="preserve">A. </w:t>
      </w:r>
      <w:r>
        <w:rPr>
          <w:rFonts w:ascii="Times New Roman" w:cs="Times New Roman" w:eastAsia="Times New Roman" w:hAnsi="Times New Roman"/>
          <w:i/>
          <w:iCs/>
          <w:color w:val="000000"/>
          <w:sz w:val="20"/>
          <w:szCs w:val="20"/>
        </w:rPr>
        <w:t xml:space="preserve">Chronotype Detection Performance</w:t>
      </w:r>
    </w:p>
    <w:p>
      <w:pPr>
        <w:spacing w:after="100" w:before="0" w:line="276" w:lineRule="auto"/>
        <w:jc w:val="both"/>
      </w:pPr>
      <w:r>
        <w:rPr>
          <w:rFonts w:ascii="Times New Roman" w:cs="Times New Roman" w:eastAsia="Times New Roman" w:hAnsi="Times New Roman"/>
          <w:b/>
          <w:bCs/>
          <w:color w:val="C00000"/>
          <w:sz w:val="20"/>
          <w:szCs w:val="20"/>
        </w:rPr>
        <w:t xml:space="preserve">[TODO: Fill this subsection with real numbers after running experiments.]</w:t>
      </w:r>
      <w:r>
        <w:rPr>
          <w:rFonts w:ascii="Times New Roman" w:cs="Times New Roman" w:eastAsia="Times New Roman" w:hAnsi="Times New Roman"/>
          <w:sz w:val="20"/>
          <w:szCs w:val="20"/>
        </w:rPr>
        <w:t xml:space="preserve"> Use the template below.</w:t>
      </w:r>
    </w:p>
    <w:p>
      <w:pPr>
        <w:spacing w:after="100" w:before="0" w:line="276" w:lineRule="auto"/>
        <w:jc w:val="both"/>
      </w:pPr>
      <w:r>
        <w:rPr>
          <w:rFonts w:ascii="Times New Roman" w:cs="Times New Roman" w:eastAsia="Times New Roman" w:hAnsi="Times New Roman"/>
          <w:sz w:val="20"/>
          <w:szCs w:val="20"/>
        </w:rPr>
        <w:t xml:space="preserve">Our circular-coordinate K-Means achieved an overall macro F1 of </w:t>
      </w:r>
      <w:r>
        <w:rPr>
          <w:rFonts w:ascii="Times New Roman" w:cs="Times New Roman" w:eastAsia="Times New Roman" w:hAnsi="Times New Roman"/>
          <w:b/>
          <w:bCs/>
          <w:color w:val="C00000"/>
          <w:sz w:val="20"/>
          <w:szCs w:val="20"/>
        </w:rPr>
        <w:t xml:space="preserve">[X.XX]</w:t>
      </w:r>
      <w:r>
        <w:rPr>
          <w:rFonts w:ascii="Times New Roman" w:cs="Times New Roman" w:eastAsia="Times New Roman" w:hAnsi="Times New Roman"/>
          <w:sz w:val="20"/>
          <w:szCs w:val="20"/>
        </w:rPr>
        <w:t xml:space="preserve"> (κ = </w:t>
      </w:r>
      <w:r>
        <w:rPr>
          <w:rFonts w:ascii="Times New Roman" w:cs="Times New Roman" w:eastAsia="Times New Roman" w:hAnsi="Times New Roman"/>
          <w:b/>
          <w:bCs/>
          <w:color w:val="C00000"/>
          <w:sz w:val="20"/>
          <w:szCs w:val="20"/>
        </w:rPr>
        <w:t xml:space="preserve">[X.XX]</w:t>
      </w:r>
      <w:r>
        <w:rPr>
          <w:rFonts w:ascii="Times New Roman" w:cs="Times New Roman" w:eastAsia="Times New Roman" w:hAnsi="Times New Roman"/>
          <w:sz w:val="20"/>
          <w:szCs w:val="20"/>
        </w:rPr>
        <w:t xml:space="preserve">) on </w:t>
      </w:r>
      <w:r>
        <w:rPr>
          <w:rFonts w:ascii="Times New Roman" w:cs="Times New Roman" w:eastAsia="Times New Roman" w:hAnsi="Times New Roman"/>
          <w:b/>
          <w:bCs/>
          <w:color w:val="C00000"/>
          <w:sz w:val="20"/>
          <w:szCs w:val="20"/>
        </w:rPr>
        <w:t xml:space="preserve">[N]</w:t>
      </w:r>
      <w:r>
        <w:rPr>
          <w:rFonts w:ascii="Times New Roman" w:cs="Times New Roman" w:eastAsia="Times New Roman" w:hAnsi="Times New Roman"/>
          <w:sz w:val="20"/>
          <w:szCs w:val="20"/>
        </w:rPr>
        <w:t xml:space="preserve"> profiles, compared to </w:t>
      </w:r>
      <w:r>
        <w:rPr>
          <w:rFonts w:ascii="Times New Roman" w:cs="Times New Roman" w:eastAsia="Times New Roman" w:hAnsi="Times New Roman"/>
          <w:b/>
          <w:bCs/>
          <w:color w:val="C00000"/>
          <w:sz w:val="20"/>
          <w:szCs w:val="20"/>
        </w:rPr>
        <w:t xml:space="preserve">[X.XX]</w:t>
      </w:r>
      <w:r>
        <w:rPr>
          <w:rFonts w:ascii="Times New Roman" w:cs="Times New Roman" w:eastAsia="Times New Roman" w:hAnsi="Times New Roman"/>
          <w:sz w:val="20"/>
          <w:szCs w:val="20"/>
        </w:rPr>
        <w:t xml:space="preserve"> for B1 (histogram peak) and </w:t>
      </w:r>
      <w:r>
        <w:rPr>
          <w:rFonts w:ascii="Times New Roman" w:cs="Times New Roman" w:eastAsia="Times New Roman" w:hAnsi="Times New Roman"/>
          <w:b/>
          <w:bCs/>
          <w:color w:val="C00000"/>
          <w:sz w:val="20"/>
          <w:szCs w:val="20"/>
        </w:rPr>
        <w:t xml:space="preserve">[X.XX]</w:t>
      </w:r>
      <w:r>
        <w:rPr>
          <w:rFonts w:ascii="Times New Roman" w:cs="Times New Roman" w:eastAsia="Times New Roman" w:hAnsi="Times New Roman"/>
          <w:sz w:val="20"/>
          <w:szCs w:val="20"/>
        </w:rPr>
        <w:t xml:space="preserve"> for B2 (linear K-Means). The improvement over B2 most clearly benefits the </w:t>
      </w:r>
      <w:r>
        <w:rPr>
          <w:rFonts w:ascii="Times New Roman" w:cs="Times New Roman" w:eastAsia="Times New Roman" w:hAnsi="Times New Roman"/>
          <w:i/>
          <w:iCs/>
          <w:sz w:val="20"/>
          <w:szCs w:val="20"/>
        </w:rPr>
        <w:t xml:space="preserve">owl</w:t>
      </w:r>
      <w:r>
        <w:rPr>
          <w:rFonts w:ascii="Times New Roman" w:cs="Times New Roman" w:eastAsia="Times New Roman" w:hAnsi="Times New Roman"/>
          <w:sz w:val="20"/>
          <w:szCs w:val="20"/>
        </w:rPr>
        <w:t xml:space="preserve"> label (commits spanning hours 22–3), where linear-space K-Means creates a spurious 21-unit gap between adjacent hours 23 and 0.</w:t>
      </w:r>
    </w:p>
    <w:p>
      <w:pPr>
        <w:spacing w:after="60" w:before="120"/>
        <w:jc w:val="center"/>
      </w:pPr>
      <w:r>
        <w:rPr>
          <w:rFonts w:ascii="Times New Roman" w:cs="Times New Roman" w:eastAsia="Times New Roman" w:hAnsi="Times New Roman"/>
          <w:b/>
          <w:bCs/>
          <w:color w:val="1F3864"/>
          <w:sz w:val="19"/>
          <w:szCs w:val="19"/>
        </w:rPr>
        <w:t xml:space="preserve">TABLE II — Chronotype Detection Performance (macro F1 and κ)</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20"/>
        <w:gridCol w:w="1820"/>
        <w:gridCol w:w="1820"/>
        <w:gridCol w:w="1820"/>
      </w:tblGrid>
      <w:tr>
        <w:tc>
          <w:tcPr>
            <w:tcW w:type="dxa" w:w="28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18"/>
                <w:szCs w:val="18"/>
              </w:rPr>
              <w:t xml:space="preserve">Method</w:t>
            </w:r>
          </w:p>
        </w:tc>
        <w:tc>
          <w:tcPr>
            <w:tcW w:type="dxa" w:w="182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18"/>
                <w:szCs w:val="18"/>
              </w:rPr>
              <w:t xml:space="preserve">Lark F1</w:t>
            </w:r>
          </w:p>
        </w:tc>
        <w:tc>
          <w:tcPr>
            <w:tcW w:type="dxa" w:w="182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18"/>
                <w:szCs w:val="18"/>
              </w:rPr>
              <w:t xml:space="preserve">Owl F1</w:t>
            </w:r>
          </w:p>
        </w:tc>
        <w:tc>
          <w:tcPr>
            <w:tcW w:type="dxa" w:w="182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18"/>
                <w:szCs w:val="18"/>
              </w:rPr>
              <w:t xml:space="preserve">Macro F1</w:t>
            </w:r>
          </w:p>
        </w:tc>
        <w:tc>
          <w:tcPr>
            <w:tcW w:type="dxa" w:w="182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b/>
                <w:bCs/>
                <w:color w:val="1F3864"/>
                <w:sz w:val="18"/>
                <w:szCs w:val="18"/>
              </w:rPr>
              <w:t xml:space="preserve">κ</w:t>
            </w:r>
          </w:p>
        </w:tc>
      </w:tr>
      <w:tr>
        <w:tc>
          <w:tcPr>
            <w:tcW w:type="dxa" w:w="2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B1 — Histogram Peak</w:t>
            </w:r>
          </w:p>
        </w:tc>
        <w:tc>
          <w:tcPr>
            <w:tcW w:type="dxa" w:w="18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c>
          <w:tcPr>
            <w:tcW w:type="dxa" w:w="18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c>
          <w:tcPr>
            <w:tcW w:type="dxa" w:w="18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c>
          <w:tcPr>
            <w:tcW w:type="dxa" w:w="18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r>
      <w:tr>
        <w:tc>
          <w:tcPr>
            <w:tcW w:type="dxa" w:w="280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B2 — Linear K-Means</w:t>
            </w:r>
          </w:p>
        </w:tc>
        <w:tc>
          <w:tcPr>
            <w:tcW w:type="dxa" w:w="18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c>
          <w:tcPr>
            <w:tcW w:type="dxa" w:w="18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c>
          <w:tcPr>
            <w:tcW w:type="dxa" w:w="18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c>
          <w:tcPr>
            <w:tcW w:type="dxa" w:w="1820"/>
            <w:tcBorders>
              <w:top w:val="single" w:color="BBBBBB" w:sz="4"/>
              <w:left w:val="single" w:color="BBBBBB" w:sz="4"/>
              <w:bottom w:val="single" w:color="BBBBBB" w:sz="4"/>
              <w:right w:val="single" w:color="BBBBBB" w:sz="4"/>
            </w:tcBorders>
            <w:shd w:fill="EBF3FA"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r>
      <w:tr>
        <w:tc>
          <w:tcPr>
            <w:tcW w:type="dxa" w:w="280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Ours (Circular K-Means)</w:t>
            </w:r>
          </w:p>
        </w:tc>
        <w:tc>
          <w:tcPr>
            <w:tcW w:type="dxa" w:w="18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c>
          <w:tcPr>
            <w:tcW w:type="dxa" w:w="18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c>
          <w:tcPr>
            <w:tcW w:type="dxa" w:w="18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c>
          <w:tcPr>
            <w:tcW w:type="dxa" w:w="1820"/>
            <w:tcBorders>
              <w:top w:val="single" w:color="BBBBBB" w:sz="4"/>
              <w:left w:val="single" w:color="BBBBBB" w:sz="4"/>
              <w:bottom w:val="single" w:color="BBBBBB" w:sz="4"/>
              <w:right w:val="single" w:color="BBBBBB" w:sz="4"/>
            </w:tcBorders>
            <w:shd w:fill="D6E4F0" w:val="clear"/>
            <w:tcMar>
              <w:top w:type="dxa" w:w="80"/>
              <w:left w:type="dxa" w:w="120"/>
              <w:bottom w:type="dxa" w:w="80"/>
              <w:right w:type="dxa" w:w="120"/>
            </w:tcMar>
          </w:tcPr>
          <w:p>
            <w:pPr>
              <w:jc w:val="center"/>
            </w:pPr>
            <w:r>
              <w:rPr>
                <w:rFonts w:ascii="Times New Roman" w:cs="Times New Roman" w:eastAsia="Times New Roman" w:hAnsi="Times New Roman"/>
                <w:sz w:val="18"/>
                <w:szCs w:val="18"/>
              </w:rPr>
              <w:t xml:space="preserve">[X.XX]</w:t>
            </w:r>
          </w:p>
        </w:tc>
      </w:tr>
    </w:tbl>
    <w:p>
      <w:pPr>
        <w:spacing w:after="14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3600" w:hRule="exact"/>
        </w:trPr>
        <w:tc>
          <w:tcPr>
            <w:tcW w:type="dxa" w:w="10080"/>
            <w:tcBorders>
              <w:top w:val="single" w:color="2E5496" w:sz="4"/>
              <w:left w:val="single" w:color="2E5496" w:sz="4"/>
              <w:bottom w:val="single" w:color="2E5496" w:sz="4"/>
              <w:right w:val="single" w:color="2E5496" w:sz="4"/>
            </w:tcBorders>
            <w:shd w:fill="EEF4FB"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2E5496"/>
                <w:sz w:val="22"/>
                <w:szCs w:val="22"/>
              </w:rPr>
              <w:t xml:space="preserve">[FIGURE 4]</w:t>
            </w:r>
          </w:p>
          <w:p>
            <w:pPr>
              <w:spacing w:before="80"/>
              <w:jc w:val="center"/>
            </w:pPr>
            <w:r>
              <w:rPr>
                <w:rFonts w:ascii="Times New Roman" w:cs="Times New Roman" w:eastAsia="Times New Roman" w:hAnsi="Times New Roman"/>
                <w:i/>
                <w:iCs/>
                <w:color w:val="595959"/>
                <w:sz w:val="18"/>
                <w:szCs w:val="18"/>
              </w:rPr>
              <w:t xml:space="preserve">Replace with figure image or TikZ export.</w:t>
            </w:r>
          </w:p>
        </w:tc>
      </w:tr>
    </w:tbl>
    <w:p>
      <w:pPr>
        <w:spacing w:after="200" w:before="100"/>
        <w:jc w:val="center"/>
      </w:pPr>
      <w:r>
        <w:rPr>
          <w:rFonts w:ascii="Times New Roman" w:cs="Times New Roman" w:eastAsia="Times New Roman" w:hAnsi="Times New Roman"/>
          <w:b/>
          <w:bCs/>
          <w:sz w:val="18"/>
          <w:szCs w:val="18"/>
        </w:rPr>
        <w:t xml:space="preserve">Fig. 4. </w:t>
      </w:r>
      <w:r>
        <w:rPr>
          <w:rFonts w:ascii="Times New Roman" w:cs="Times New Roman" w:eastAsia="Times New Roman" w:hAnsi="Times New Roman"/>
          <w:sz w:val="18"/>
          <w:szCs w:val="18"/>
        </w:rPr>
        <w:t xml:space="preserve">Per-class F1 scores for chronotype detection. Circular K-Means (dark bars) outperforms both baselines, with the largest gains on the owl class where the midnight boundary causes the greatest linear-space distortion.</w:t>
      </w:r>
    </w:p>
    <w:p>
      <w:pPr>
        <w:pStyle w:val="Heading2"/>
        <w:spacing w:after="60" w:before="180"/>
      </w:pPr>
      <w:r>
        <w:rPr>
          <w:rFonts w:ascii="Times New Roman" w:cs="Times New Roman" w:eastAsia="Times New Roman" w:hAnsi="Times New Roman"/>
          <w:b/>
          <w:bCs/>
          <w:color w:val="2E5496"/>
          <w:sz w:val="20"/>
          <w:szCs w:val="20"/>
        </w:rPr>
        <w:t xml:space="preserve">B. </w:t>
      </w:r>
      <w:r>
        <w:rPr>
          <w:rFonts w:ascii="Times New Roman" w:cs="Times New Roman" w:eastAsia="Times New Roman" w:hAnsi="Times New Roman"/>
          <w:i/>
          <w:iCs/>
          <w:color w:val="000000"/>
          <w:sz w:val="20"/>
          <w:szCs w:val="20"/>
        </w:rPr>
        <w:t xml:space="preserve">Compatibility Score Face Validity</w:t>
      </w:r>
    </w:p>
    <w:p>
      <w:pPr>
        <w:spacing w:after="100" w:before="0" w:line="276" w:lineRule="auto"/>
        <w:jc w:val="both"/>
      </w:pPr>
      <w:r>
        <w:rPr>
          <w:rFonts w:ascii="Times New Roman" w:cs="Times New Roman" w:eastAsia="Times New Roman" w:hAnsi="Times New Roman"/>
          <w:sz w:val="20"/>
          <w:szCs w:val="20"/>
        </w:rPr>
        <w:t xml:space="preserve">Across </w:t>
      </w:r>
      <w:r>
        <w:rPr>
          <w:rFonts w:ascii="Times New Roman" w:cs="Times New Roman" w:eastAsia="Times New Roman" w:hAnsi="Times New Roman"/>
          <w:b/>
          <w:bCs/>
          <w:color w:val="C00000"/>
          <w:sz w:val="20"/>
          <w:szCs w:val="20"/>
        </w:rPr>
        <w:t xml:space="preserve">[N_pairs]</w:t>
      </w:r>
      <w:r>
        <w:rPr>
          <w:rFonts w:ascii="Times New Roman" w:cs="Times New Roman" w:eastAsia="Times New Roman" w:hAnsi="Times New Roman"/>
          <w:sz w:val="20"/>
          <w:szCs w:val="20"/>
        </w:rPr>
        <w:t xml:space="preserve"> developer pairs, GitSyntropy compatibility score correlated with self-reported collaboration satisfaction at r = </w:t>
      </w:r>
      <w:r>
        <w:rPr>
          <w:rFonts w:ascii="Times New Roman" w:cs="Times New Roman" w:eastAsia="Times New Roman" w:hAnsi="Times New Roman"/>
          <w:b/>
          <w:bCs/>
          <w:color w:val="C00000"/>
          <w:sz w:val="20"/>
          <w:szCs w:val="20"/>
        </w:rPr>
        <w:t xml:space="preserve">[X.XX]</w:t>
      </w:r>
      <w:r>
        <w:rPr>
          <w:rFonts w:ascii="Times New Roman" w:cs="Times New Roman" w:eastAsia="Times New Roman" w:hAnsi="Times New Roman"/>
          <w:sz w:val="20"/>
          <w:szCs w:val="20"/>
        </w:rPr>
        <w:t xml:space="preserve"> (p = </w:t>
      </w:r>
      <w:r>
        <w:rPr>
          <w:rFonts w:ascii="Times New Roman" w:cs="Times New Roman" w:eastAsia="Times New Roman" w:hAnsi="Times New Roman"/>
          <w:b/>
          <w:bCs/>
          <w:color w:val="C00000"/>
          <w:sz w:val="20"/>
          <w:szCs w:val="20"/>
        </w:rPr>
        <w:t xml:space="preserve">[X.XX]</w:t>
      </w:r>
      <w:r>
        <w:rPr>
          <w:rFonts w:ascii="Times New Roman" w:cs="Times New Roman" w:eastAsia="Times New Roman" w:hAnsi="Times New Roman"/>
          <w:sz w:val="20"/>
          <w:szCs w:val="20"/>
        </w:rPr>
        <w:t xml:space="preserve">; 95% CI: </w:t>
      </w:r>
      <w:r>
        <w:rPr>
          <w:rFonts w:ascii="Times New Roman" w:cs="Times New Roman" w:eastAsia="Times New Roman" w:hAnsi="Times New Roman"/>
          <w:b/>
          <w:bCs/>
          <w:color w:val="C00000"/>
          <w:sz w:val="20"/>
          <w:szCs w:val="20"/>
        </w:rPr>
        <w:t xml:space="preserve">[lower, upper]</w:t>
      </w:r>
      <w:r>
        <w:rPr>
          <w:rFonts w:ascii="Times New Roman" w:cs="Times New Roman" w:eastAsia="Times New Roman" w:hAnsi="Times New Roman"/>
          <w:sz w:val="20"/>
          <w:szCs w:val="20"/>
        </w:rPr>
        <w:t xml:space="preserve">). Spearman's ρ = </w:t>
      </w:r>
      <w:r>
        <w:rPr>
          <w:rFonts w:ascii="Times New Roman" w:cs="Times New Roman" w:eastAsia="Times New Roman" w:hAnsi="Times New Roman"/>
          <w:b/>
          <w:bCs/>
          <w:color w:val="C00000"/>
          <w:sz w:val="20"/>
          <w:szCs w:val="20"/>
        </w:rPr>
        <w:t xml:space="preserve">[X.XX]</w:t>
      </w:r>
      <w:r>
        <w:rPr>
          <w:rFonts w:ascii="Times New Roman" w:cs="Times New Roman" w:eastAsia="Times New Roman" w:hAnsi="Times New Roman"/>
          <w:sz w:val="20"/>
          <w:szCs w:val="20"/>
        </w:rPr>
        <w:t xml:space="preserve">. The Chronotype Sync dimension (weight 8) showed the highest individual-dimension correlation with satisfaction (r = </w:t>
      </w:r>
      <w:r>
        <w:rPr>
          <w:rFonts w:ascii="Times New Roman" w:cs="Times New Roman" w:eastAsia="Times New Roman" w:hAnsi="Times New Roman"/>
          <w:b/>
          <w:bCs/>
          <w:color w:val="C00000"/>
          <w:sz w:val="20"/>
          <w:szCs w:val="20"/>
        </w:rPr>
        <w:t xml:space="preserve">[X.XX]</w:t>
      </w:r>
      <w:r>
        <w:rPr>
          <w:rFonts w:ascii="Times New Roman" w:cs="Times New Roman" w:eastAsia="Times New Roman" w:hAnsi="Times New Roman"/>
          <w:sz w:val="20"/>
          <w:szCs w:val="20"/>
        </w:rPr>
        <w:t xml:space="preserve">), consistent with schedule misalignment being a leading source of coordination friction.</w:t>
      </w:r>
    </w:p>
    <w:p>
      <w:pPr>
        <w:pStyle w:val="Heading2"/>
        <w:spacing w:after="60" w:before="180"/>
      </w:pPr>
      <w:r>
        <w:rPr>
          <w:rFonts w:ascii="Times New Roman" w:cs="Times New Roman" w:eastAsia="Times New Roman" w:hAnsi="Times New Roman"/>
          <w:b/>
          <w:bCs/>
          <w:color w:val="2E5496"/>
          <w:sz w:val="20"/>
          <w:szCs w:val="20"/>
        </w:rPr>
        <w:t xml:space="preserve">C. </w:t>
      </w:r>
      <w:r>
        <w:rPr>
          <w:rFonts w:ascii="Times New Roman" w:cs="Times New Roman" w:eastAsia="Times New Roman" w:hAnsi="Times New Roman"/>
          <w:i/>
          <w:iCs/>
          <w:color w:val="000000"/>
          <w:sz w:val="20"/>
          <w:szCs w:val="20"/>
        </w:rPr>
        <w:t xml:space="preserve">Monte Carlo Convergence</w:t>
      </w:r>
    </w:p>
    <w:p>
      <w:pPr>
        <w:spacing w:after="100" w:before="0" w:line="276" w:lineRule="auto"/>
        <w:jc w:val="both"/>
      </w:pPr>
      <w:r>
        <w:rPr>
          <w:rFonts w:ascii="Times New Roman" w:cs="Times New Roman" w:eastAsia="Times New Roman" w:hAnsi="Times New Roman"/>
          <w:sz w:val="20"/>
          <w:szCs w:val="20"/>
        </w:rPr>
        <w:t xml:space="preserve">The simulation reached a stable plateau (improvement &lt; 0.5% from additional iterations) at N* = </w:t>
      </w:r>
      <w:r>
        <w:rPr>
          <w:rFonts w:ascii="Times New Roman" w:cs="Times New Roman" w:eastAsia="Times New Roman" w:hAnsi="Times New Roman"/>
          <w:b/>
          <w:bCs/>
          <w:color w:val="C00000"/>
          <w:sz w:val="20"/>
          <w:szCs w:val="20"/>
        </w:rPr>
        <w:t xml:space="preserve">[X]</w:t>
      </w:r>
      <w:r>
        <w:rPr>
          <w:rFonts w:ascii="Times New Roman" w:cs="Times New Roman" w:eastAsia="Times New Roman" w:hAnsi="Times New Roman"/>
          <w:sz w:val="20"/>
          <w:szCs w:val="20"/>
        </w:rPr>
        <w:t xml:space="preserve"> iterations. At N = 1,000, mean best-candidate improvement over baseline was </w:t>
      </w:r>
      <w:r>
        <w:rPr>
          <w:rFonts w:ascii="Times New Roman" w:cs="Times New Roman" w:eastAsia="Times New Roman" w:hAnsi="Times New Roman"/>
          <w:b/>
          <w:bCs/>
          <w:color w:val="C00000"/>
          <w:sz w:val="20"/>
          <w:szCs w:val="20"/>
        </w:rPr>
        <w:t xml:space="preserve">[X.XX ± X.XX]</w:t>
      </w:r>
      <w:r>
        <w:rPr>
          <w:rFonts w:ascii="Times New Roman" w:cs="Times New Roman" w:eastAsia="Times New Roman" w:hAnsi="Times New Roman"/>
          <w:sz w:val="20"/>
          <w:szCs w:val="20"/>
        </w:rPr>
        <w:t xml:space="preserve"> compatibility points across 50 seeds.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3600" w:hRule="exact"/>
        </w:trPr>
        <w:tc>
          <w:tcPr>
            <w:tcW w:type="dxa" w:w="10080"/>
            <w:tcBorders>
              <w:top w:val="single" w:color="2E5496" w:sz="4"/>
              <w:left w:val="single" w:color="2E5496" w:sz="4"/>
              <w:bottom w:val="single" w:color="2E5496" w:sz="4"/>
              <w:right w:val="single" w:color="2E5496" w:sz="4"/>
            </w:tcBorders>
            <w:shd w:fill="EEF4FB" w:val="clear"/>
            <w:tcMar>
              <w:top w:type="dxa" w:w="120"/>
              <w:left w:type="dxa" w:w="200"/>
              <w:bottom w:type="dxa" w:w="120"/>
              <w:right w:type="dxa" w:w="200"/>
            </w:tcMar>
            <w:vAlign w:val="center"/>
          </w:tcPr>
          <w:p>
            <w:pPr>
              <w:jc w:val="center"/>
            </w:pPr>
            <w:r>
              <w:rPr>
                <w:rFonts w:ascii="Times New Roman" w:cs="Times New Roman" w:eastAsia="Times New Roman" w:hAnsi="Times New Roman"/>
                <w:b/>
                <w:bCs/>
                <w:color w:val="2E5496"/>
                <w:sz w:val="22"/>
                <w:szCs w:val="22"/>
              </w:rPr>
              <w:t xml:space="preserve">[FIGURE 5]</w:t>
            </w:r>
          </w:p>
          <w:p>
            <w:pPr>
              <w:spacing w:before="80"/>
              <w:jc w:val="center"/>
            </w:pPr>
            <w:r>
              <w:rPr>
                <w:rFonts w:ascii="Times New Roman" w:cs="Times New Roman" w:eastAsia="Times New Roman" w:hAnsi="Times New Roman"/>
                <w:i/>
                <w:iCs/>
                <w:color w:val="595959"/>
                <w:sz w:val="18"/>
                <w:szCs w:val="18"/>
              </w:rPr>
              <w:t xml:space="preserve">Replace with figure image or TikZ export.</w:t>
            </w:r>
          </w:p>
        </w:tc>
      </w:tr>
    </w:tbl>
    <w:p>
      <w:pPr>
        <w:spacing w:after="200" w:before="100"/>
        <w:jc w:val="center"/>
      </w:pPr>
      <w:r>
        <w:rPr>
          <w:rFonts w:ascii="Times New Roman" w:cs="Times New Roman" w:eastAsia="Times New Roman" w:hAnsi="Times New Roman"/>
          <w:b/>
          <w:bCs/>
          <w:sz w:val="18"/>
          <w:szCs w:val="18"/>
        </w:rPr>
        <w:t xml:space="preserve">Fig. 5. </w:t>
      </w:r>
      <w:r>
        <w:rPr>
          <w:rFonts w:ascii="Times New Roman" w:cs="Times New Roman" w:eastAsia="Times New Roman" w:hAnsi="Times New Roman"/>
          <w:sz w:val="18"/>
          <w:szCs w:val="18"/>
        </w:rPr>
        <w:t xml:space="preserve">Monte Carlo convergence. Mean improvement in team mean pairwise compatibility score (over 50 random seeds) as a function of iteration count N. The shaded band shows ±1 standard deviation. Improvement stabilizes by approximately N* iterations, validating the N = 1,000 default.</w:t>
      </w:r>
    </w:p>
    <w:p>
      <w:pPr>
        <w:pBdr>
          <w:bottom w:val="single" w:color="2E5496" w:sz="8" w:space="1"/>
        </w:pBdr>
        <w:spacing w:after="0" w:before="0"/>
      </w:pPr>
    </w:p>
    <w:p>
      <w:pPr>
        <w:pStyle w:val="Heading1"/>
        <w:spacing w:after="80" w:before="260"/>
      </w:pPr>
      <w:r>
        <w:rPr>
          <w:rFonts w:ascii="Times New Roman" w:cs="Times New Roman" w:eastAsia="Times New Roman" w:hAnsi="Times New Roman"/>
          <w:b/>
          <w:bCs/>
          <w:color w:val="1F3864"/>
          <w:sz w:val="22"/>
          <w:szCs w:val="22"/>
        </w:rPr>
        <w:t xml:space="preserve">VI.  DISCUSSION AND LIMITATIONS</w:t>
      </w:r>
    </w:p>
    <w:p>
      <w:pPr>
        <w:pStyle w:val="Heading2"/>
        <w:spacing w:after="60" w:before="180"/>
      </w:pPr>
      <w:r>
        <w:rPr>
          <w:rFonts w:ascii="Times New Roman" w:cs="Times New Roman" w:eastAsia="Times New Roman" w:hAnsi="Times New Roman"/>
          <w:b/>
          <w:bCs/>
          <w:color w:val="2E5496"/>
          <w:sz w:val="20"/>
          <w:szCs w:val="20"/>
        </w:rPr>
        <w:t xml:space="preserve">A. </w:t>
      </w:r>
      <w:r>
        <w:rPr>
          <w:rFonts w:ascii="Times New Roman" w:cs="Times New Roman" w:eastAsia="Times New Roman" w:hAnsi="Times New Roman"/>
          <w:i/>
          <w:iCs/>
          <w:color w:val="000000"/>
          <w:sz w:val="20"/>
          <w:szCs w:val="20"/>
        </w:rPr>
        <w:t xml:space="preserve">Strengths of the Proposed Approach</w:t>
      </w:r>
    </w:p>
    <w:p>
      <w:pPr>
        <w:spacing w:after="100" w:before="0" w:line="276" w:lineRule="auto"/>
        <w:jc w:val="both"/>
      </w:pPr>
      <w:r>
        <w:rPr>
          <w:rFonts w:ascii="Times New Roman" w:cs="Times New Roman" w:eastAsia="Times New Roman" w:hAnsi="Times New Roman"/>
          <w:sz w:val="20"/>
          <w:szCs w:val="20"/>
        </w:rPr>
        <w:t xml:space="preserve">GitSyntropy's chronotype detection operates on </w:t>
      </w:r>
      <w:r>
        <w:rPr>
          <w:rFonts w:ascii="Times New Roman" w:cs="Times New Roman" w:eastAsia="Times New Roman" w:hAnsi="Times New Roman"/>
          <w:i/>
          <w:iCs/>
          <w:sz w:val="20"/>
          <w:szCs w:val="20"/>
        </w:rPr>
        <w:t xml:space="preserve">passively</w:t>
      </w:r>
      <w:r>
        <w:rPr>
          <w:rFonts w:ascii="Times New Roman" w:cs="Times New Roman" w:eastAsia="Times New Roman" w:hAnsi="Times New Roman"/>
          <w:sz w:val="20"/>
          <w:szCs w:val="20"/>
        </w:rPr>
        <w:t xml:space="preserve"> collected data. Developers are not asked to self-report their chronotype, eliminating social-desirability bias and the administrative overhead of traditional surveys. The adaptive assessment reduces the psychometric burden to a minimum of three active questions per session (after GitHub pre-populates dimension 8), enabling deployment in pre-screening workflows where longer assessments are impractical.</w:t>
      </w:r>
    </w:p>
    <w:p>
      <w:pPr>
        <w:spacing w:after="100" w:before="0" w:line="276" w:lineRule="auto"/>
        <w:jc w:val="both"/>
      </w:pPr>
      <w:r>
        <w:rPr>
          <w:rFonts w:ascii="Times New Roman" w:cs="Times New Roman" w:eastAsia="Times New Roman" w:hAnsi="Times New Roman"/>
          <w:sz w:val="20"/>
          <w:szCs w:val="20"/>
        </w:rPr>
        <w:t xml:space="preserve">The Ashtakoot weight structure is adopted strictly for its mathematical properties—a strictly ascending integer weight sequence covering eight complementary dimensions with a fixed sum of 36—and not for any astrological rationale. The empirical behavioral content of every dimension is independently motivated by the software engineering personality literature cited in Section II.</w:t>
      </w:r>
    </w:p>
    <w:p>
      <w:pPr>
        <w:pStyle w:val="Heading2"/>
        <w:spacing w:after="60" w:before="180"/>
      </w:pPr>
      <w:r>
        <w:rPr>
          <w:rFonts w:ascii="Times New Roman" w:cs="Times New Roman" w:eastAsia="Times New Roman" w:hAnsi="Times New Roman"/>
          <w:b/>
          <w:bCs/>
          <w:color w:val="2E5496"/>
          <w:sz w:val="20"/>
          <w:szCs w:val="20"/>
        </w:rPr>
        <w:t xml:space="preserve">B. </w:t>
      </w:r>
      <w:r>
        <w:rPr>
          <w:rFonts w:ascii="Times New Roman" w:cs="Times New Roman" w:eastAsia="Times New Roman" w:hAnsi="Times New Roman"/>
          <w:i/>
          <w:iCs/>
          <w:color w:val="000000"/>
          <w:sz w:val="20"/>
          <w:szCs w:val="20"/>
        </w:rPr>
        <w:t xml:space="preserve">Threats to Validity</w:t>
      </w:r>
    </w:p>
    <w:p>
      <w:pPr>
        <w:spacing w:after="100" w:before="0" w:line="276" w:lineRule="auto"/>
        <w:jc w:val="both"/>
      </w:pPr>
      <w:r>
        <w:rPr>
          <w:rFonts w:ascii="Times New Roman" w:cs="Times New Roman" w:eastAsia="Times New Roman" w:hAnsi="Times New Roman"/>
          <w:b/>
          <w:bCs/>
          <w:sz w:val="20"/>
          <w:szCs w:val="20"/>
        </w:rPr>
        <w:t xml:space="preserve">Construct validity. </w:t>
      </w:r>
      <w:r>
        <w:rPr>
          <w:rFonts w:ascii="Times New Roman" w:cs="Times New Roman" w:eastAsia="Times New Roman" w:hAnsi="Times New Roman"/>
          <w:sz w:val="20"/>
          <w:szCs w:val="20"/>
        </w:rPr>
        <w:t xml:space="preserve">Commit timestamps reflect when a developer commits, not necessarily when they do their best work. Batch commits, CI/CD automation, and timezone misconfiguration can contaminate the chronotype signal. We require ≥ 50 commits over 90 days to mitigate outlier influence, but cannot fully eliminate this confound.</w:t>
      </w:r>
    </w:p>
    <w:p>
      <w:pPr>
        <w:spacing w:after="100" w:before="0" w:line="276" w:lineRule="auto"/>
        <w:jc w:val="both"/>
      </w:pPr>
      <w:r>
        <w:rPr>
          <w:rFonts w:ascii="Times New Roman" w:cs="Times New Roman" w:eastAsia="Times New Roman" w:hAnsi="Times New Roman"/>
          <w:b/>
          <w:bCs/>
          <w:sz w:val="20"/>
          <w:szCs w:val="20"/>
        </w:rPr>
        <w:t xml:space="preserve">External validity. </w:t>
      </w:r>
      <w:r>
        <w:rPr>
          <w:rFonts w:ascii="Times New Roman" w:cs="Times New Roman" w:eastAsia="Times New Roman" w:hAnsi="Times New Roman"/>
          <w:sz w:val="20"/>
          <w:szCs w:val="20"/>
        </w:rPr>
        <w:t xml:space="preserve">Publicly visible GitHub profiles over-represent open-source contributors and may underrepresent developers at enterprises who commit primarily to private repositories. Generalization to private-repo developers remains an open question.</w:t>
      </w:r>
    </w:p>
    <w:p>
      <w:pPr>
        <w:spacing w:after="100" w:before="0" w:line="276" w:lineRule="auto"/>
        <w:jc w:val="both"/>
      </w:pPr>
      <w:r>
        <w:rPr>
          <w:rFonts w:ascii="Times New Roman" w:cs="Times New Roman" w:eastAsia="Times New Roman" w:hAnsi="Times New Roman"/>
          <w:b/>
          <w:bCs/>
          <w:sz w:val="20"/>
          <w:szCs w:val="20"/>
        </w:rPr>
        <w:t xml:space="preserve">Ground-truth quality. </w:t>
      </w:r>
      <w:r>
        <w:rPr>
          <w:rFonts w:ascii="Times New Roman" w:cs="Times New Roman" w:eastAsia="Times New Roman" w:hAnsi="Times New Roman"/>
          <w:sz w:val="20"/>
          <w:szCs w:val="20"/>
        </w:rPr>
        <w:t xml:space="preserve">MEQ is a self-report instrument; actigraphy would provide more objective chronotype labels but falls outside the scope of public behavioral telemetry.</w:t>
      </w:r>
    </w:p>
    <w:p>
      <w:pPr>
        <w:spacing w:after="100" w:before="0" w:line="276" w:lineRule="auto"/>
        <w:jc w:val="both"/>
      </w:pPr>
      <w:r>
        <w:rPr>
          <w:rFonts w:ascii="Times New Roman" w:cs="Times New Roman" w:eastAsia="Times New Roman" w:hAnsi="Times New Roman"/>
          <w:b/>
          <w:bCs/>
          <w:sz w:val="20"/>
          <w:szCs w:val="20"/>
        </w:rPr>
        <w:t xml:space="preserve">Sample size. </w:t>
      </w:r>
      <w:r>
        <w:rPr>
          <w:rFonts w:ascii="Times New Roman" w:cs="Times New Roman" w:eastAsia="Times New Roman" w:hAnsi="Times New Roman"/>
          <w:sz w:val="20"/>
          <w:szCs w:val="20"/>
        </w:rPr>
        <w:t xml:space="preserve">With </w:t>
      </w:r>
      <w:r>
        <w:rPr>
          <w:rFonts w:ascii="Times New Roman" w:cs="Times New Roman" w:eastAsia="Times New Roman" w:hAnsi="Times New Roman"/>
          <w:b/>
          <w:bCs/>
          <w:color w:val="C00000"/>
          <w:sz w:val="20"/>
          <w:szCs w:val="20"/>
        </w:rPr>
        <w:t xml:space="preserve">[N]</w:t>
      </w:r>
      <w:r>
        <w:rPr>
          <w:rFonts w:ascii="Times New Roman" w:cs="Times New Roman" w:eastAsia="Times New Roman" w:hAnsi="Times New Roman"/>
          <w:sz w:val="20"/>
          <w:szCs w:val="20"/>
        </w:rPr>
        <w:t xml:space="preserve"> participants, effect-size estimates carry </w:t>
      </w:r>
      <w:r>
        <w:rPr>
          <w:rFonts w:ascii="Times New Roman" w:cs="Times New Roman" w:eastAsia="Times New Roman" w:hAnsi="Times New Roman"/>
          <w:b/>
          <w:bCs/>
          <w:color w:val="C00000"/>
          <w:sz w:val="20"/>
          <w:szCs w:val="20"/>
        </w:rPr>
        <w:t xml:space="preserve">[X]</w:t>
      </w:r>
      <w:r>
        <w:rPr>
          <w:rFonts w:ascii="Times New Roman" w:cs="Times New Roman" w:eastAsia="Times New Roman" w:hAnsi="Times New Roman"/>
          <w:sz w:val="20"/>
          <w:szCs w:val="20"/>
        </w:rPr>
        <w:t xml:space="preserve">% confidence intervals. We report confidence intervals throughout to support future meta-analytic aggregation.</w:t>
      </w:r>
    </w:p>
    <w:p>
      <w:pPr>
        <w:spacing w:after="100" w:before="0" w:line="276" w:lineRule="auto"/>
        <w:jc w:val="both"/>
      </w:pPr>
      <w:r>
        <w:rPr>
          <w:rFonts w:ascii="Times New Roman" w:cs="Times New Roman" w:eastAsia="Times New Roman" w:hAnsi="Times New Roman"/>
          <w:b/>
          <w:bCs/>
          <w:sz w:val="20"/>
          <w:szCs w:val="20"/>
        </w:rPr>
        <w:t xml:space="preserve">Causal claims. </w:t>
      </w:r>
      <w:r>
        <w:rPr>
          <w:rFonts w:ascii="Times New Roman" w:cs="Times New Roman" w:eastAsia="Times New Roman" w:hAnsi="Times New Roman"/>
          <w:sz w:val="20"/>
          <w:szCs w:val="20"/>
        </w:rPr>
        <w:t xml:space="preserve">GitSyntropy produces a correlation-based compatibility score. We make no causal claim that high scores produce better collaboration outcomes; that inference requires a longitudinal controlled study beyond the scope of this work.</w:t>
      </w:r>
    </w:p>
    <w:p>
      <w:pPr>
        <w:pBdr>
          <w:bottom w:val="single" w:color="2E5496" w:sz="8" w:space="1"/>
        </w:pBdr>
        <w:spacing w:after="0" w:before="0"/>
      </w:pPr>
    </w:p>
    <w:p>
      <w:pPr>
        <w:pStyle w:val="Heading1"/>
        <w:spacing w:after="80" w:before="260"/>
      </w:pPr>
      <w:r>
        <w:rPr>
          <w:rFonts w:ascii="Times New Roman" w:cs="Times New Roman" w:eastAsia="Times New Roman" w:hAnsi="Times New Roman"/>
          <w:b/>
          <w:bCs/>
          <w:color w:val="1F3864"/>
          <w:sz w:val="22"/>
          <w:szCs w:val="22"/>
        </w:rPr>
        <w:t xml:space="preserve">VII.  CONCLUSION</w:t>
      </w:r>
    </w:p>
    <w:p>
      <w:pPr>
        <w:spacing w:after="100" w:before="0" w:line="276" w:lineRule="auto"/>
        <w:jc w:val="both"/>
      </w:pPr>
      <w:r>
        <w:rPr>
          <w:rFonts w:ascii="Times New Roman" w:cs="Times New Roman" w:eastAsia="Times New Roman" w:hAnsi="Times New Roman"/>
          <w:sz w:val="20"/>
          <w:szCs w:val="20"/>
        </w:rPr>
        <w:t xml:space="preserve">We presented </w:t>
      </w:r>
      <w:r>
        <w:rPr>
          <w:rFonts w:ascii="Times New Roman" w:cs="Times New Roman" w:eastAsia="Times New Roman" w:hAnsi="Times New Roman"/>
          <w:i/>
          <w:iCs/>
          <w:sz w:val="20"/>
          <w:szCs w:val="20"/>
        </w:rPr>
        <w:t xml:space="preserve">GitSyntropy</w:t>
      </w:r>
      <w:r>
        <w:rPr>
          <w:rFonts w:ascii="Times New Roman" w:cs="Times New Roman" w:eastAsia="Times New Roman" w:hAnsi="Times New Roman"/>
          <w:sz w:val="20"/>
          <w:szCs w:val="20"/>
        </w:rPr>
        <w:t xml:space="preserve">, a system that fuses passively collected GitHub behavioral telemetry with an adaptive psychometric instrument to quantify software team behavioral compatibility. The central technical contribution is a circular-coordinate K-Means chronotype detector that correctly handles the midnight boundary artifact affecting linear-histogram and linear-space K-Means baselines. Compatibility is scored across eight weighted behavioral dimensions (36-point scale) and a Monte Carlo simulation identifies the candidate profile that would most improve an existing team.</w:t>
      </w:r>
    </w:p>
    <w:p>
      <w:pPr>
        <w:spacing w:after="100" w:before="0" w:line="276" w:lineRule="auto"/>
        <w:jc w:val="both"/>
      </w:pPr>
      <w:r>
        <w:rPr>
          <w:rFonts w:ascii="Times New Roman" w:cs="Times New Roman" w:eastAsia="Times New Roman" w:hAnsi="Times New Roman"/>
          <w:sz w:val="20"/>
          <w:szCs w:val="20"/>
        </w:rPr>
        <w:t xml:space="preserve">Future work will (i) validate compatibility scores against objective team performance metrics such as sprint velocity and defect density in longitudinal studies; (ii) extend the behavioral telemetry to pull request and code review timestamp signals; and (iii) investigate privacy-preserving variants that compute compatibility without centralizing raw commit histories. The complete system and evaluation code are available at https://github.com/1mystic/GitSyntropy.</w:t>
      </w:r>
    </w:p>
    <w:p>
      <w:pPr>
        <w:pBdr>
          <w:bottom w:val="single" w:color="2E5496" w:sz="8" w:space="1"/>
        </w:pBdr>
        <w:spacing w:after="0" w:before="0"/>
      </w:pPr>
    </w:p>
    <w:p>
      <w:pPr>
        <w:pStyle w:val="Heading1"/>
        <w:spacing w:after="80" w:before="260"/>
      </w:pPr>
      <w:r>
        <w:rPr>
          <w:rFonts w:ascii="Times New Roman" w:cs="Times New Roman" w:eastAsia="Times New Roman" w:hAnsi="Times New Roman"/>
          <w:b/>
          <w:bCs/>
          <w:color w:val="1F3864"/>
          <w:sz w:val="22"/>
          <w:szCs w:val="22"/>
        </w:rPr>
        <w:t xml:space="preserve">.  REFERENCES</w:t>
      </w:r>
    </w:p>
    <w:p>
      <w:pPr>
        <w:spacing w:after="40" w:before="40" w:line="252" w:lineRule="auto"/>
        <w:ind w:left="480" w:hanging="480"/>
      </w:pPr>
      <w:r>
        <w:rPr>
          <w:rFonts w:ascii="Times New Roman" w:cs="Times New Roman" w:eastAsia="Times New Roman" w:hAnsi="Times New Roman"/>
          <w:sz w:val="18"/>
          <w:szCs w:val="18"/>
        </w:rPr>
        <w:t xml:space="preserve">[1]  C. Choi and C. Thompson, “Group behavioral flexibility: effects of performance feedback on team behavioral patterns,“ Academy of Management Journal, vol. 48, no. 6, pp. 1051–1068, 2005.</w:t>
      </w:r>
    </w:p>
    <w:p>
      <w:pPr>
        <w:spacing w:after="40" w:before="40" w:line="252" w:lineRule="auto"/>
        <w:ind w:left="480" w:hanging="480"/>
      </w:pPr>
      <w:r>
        <w:rPr>
          <w:rFonts w:ascii="Times New Roman" w:cs="Times New Roman" w:eastAsia="Times New Roman" w:hAnsi="Times New Roman"/>
          <w:sz w:val="18"/>
          <w:szCs w:val="18"/>
        </w:rPr>
        <w:t xml:space="preserve">[2]  S. T. Acuña, M. Gómez, and N. Juristo, “How do personality, team processes and task characteristics relate to job satisfaction and software quality?“ Information and Software Technology, vol. 51, no. 3, pp. 627–639, 2009.</w:t>
      </w:r>
    </w:p>
    <w:p>
      <w:pPr>
        <w:spacing w:after="40" w:before="40" w:line="252" w:lineRule="auto"/>
        <w:ind w:left="480" w:hanging="480"/>
      </w:pPr>
      <w:r>
        <w:rPr>
          <w:rFonts w:ascii="Times New Roman" w:cs="Times New Roman" w:eastAsia="Times New Roman" w:hAnsi="Times New Roman"/>
          <w:sz w:val="18"/>
          <w:szCs w:val="18"/>
        </w:rPr>
        <w:t xml:space="preserve">[3]  A. Silva et al., “A data-driven approach to team formation in software engineering based on personality traits,“ preprint, ResearchGate, Nov. 2023.</w:t>
      </w:r>
    </w:p>
    <w:p>
      <w:pPr>
        <w:spacing w:after="40" w:before="40" w:line="252" w:lineRule="auto"/>
        <w:ind w:left="480" w:hanging="480"/>
      </w:pPr>
      <w:r>
        <w:rPr>
          <w:rFonts w:ascii="Times New Roman" w:cs="Times New Roman" w:eastAsia="Times New Roman" w:hAnsi="Times New Roman"/>
          <w:sz w:val="18"/>
          <w:szCs w:val="18"/>
        </w:rPr>
        <w:t xml:space="preserve">[4]  E. Kalliamvakou et al., “An in-depth study of the promises and perils of mining GitHub,“ Empirical Software Engineering, vol. 21, no. 5, pp. 2035–2071, 2016.</w:t>
      </w:r>
    </w:p>
    <w:p>
      <w:pPr>
        <w:spacing w:after="40" w:before="40" w:line="252" w:lineRule="auto"/>
        <w:ind w:left="480" w:hanging="480"/>
      </w:pPr>
      <w:r>
        <w:rPr>
          <w:rFonts w:ascii="Times New Roman" w:cs="Times New Roman" w:eastAsia="Times New Roman" w:hAnsi="Times New Roman"/>
          <w:sz w:val="18"/>
          <w:szCs w:val="18"/>
        </w:rPr>
        <w:t xml:space="preserve">[5]  M. Claes et al., “Do developers work at night or is it just a myth?“ in Proc. IEEE/ACM MSR, 2018.</w:t>
      </w:r>
    </w:p>
    <w:p>
      <w:pPr>
        <w:spacing w:after="40" w:before="40" w:line="252" w:lineRule="auto"/>
        <w:ind w:left="480" w:hanging="480"/>
      </w:pPr>
      <w:r>
        <w:rPr>
          <w:rFonts w:ascii="Times New Roman" w:cs="Times New Roman" w:eastAsia="Times New Roman" w:hAnsi="Times New Roman"/>
          <w:sz w:val="18"/>
          <w:szCs w:val="18"/>
        </w:rPr>
        <w:t xml:space="preserve">[6]  V. Talos et al., “TGIF: the evolution of developer commit times,“ Empirical Software Engineering, vol. 30, 2025. DOI: 10.1007/s10664-025-10767-2.</w:t>
      </w:r>
    </w:p>
    <w:p>
      <w:pPr>
        <w:spacing w:after="40" w:before="40" w:line="252" w:lineRule="auto"/>
        <w:ind w:left="480" w:hanging="480"/>
      </w:pPr>
      <w:r>
        <w:rPr>
          <w:rFonts w:ascii="Times New Roman" w:cs="Times New Roman" w:eastAsia="Times New Roman" w:hAnsi="Times New Roman"/>
          <w:sz w:val="18"/>
          <w:szCs w:val="18"/>
        </w:rPr>
        <w:t xml:space="preserve">[7]  S. Cruz, C. da Silva, and L. E. Capretz, “Forty years of research on personality in software engineering,“ Computers in Human Behavior, vol. 46, pp. 94–113, 2015.</w:t>
      </w:r>
    </w:p>
    <w:p>
      <w:pPr>
        <w:spacing w:after="40" w:before="40" w:line="252" w:lineRule="auto"/>
        <w:ind w:left="480" w:hanging="480"/>
      </w:pPr>
      <w:r>
        <w:rPr>
          <w:rFonts w:ascii="Times New Roman" w:cs="Times New Roman" w:eastAsia="Times New Roman" w:hAnsi="Times New Roman"/>
          <w:sz w:val="18"/>
          <w:szCs w:val="18"/>
        </w:rPr>
        <w:t xml:space="preserve">[8]  M. Yilmaz, R. V. O'Connor, and P. Clarke, “A machine-based personality oriented team recommender for software development organizations,“ in Proc. SPICE, 2015, pp. 78–90.</w:t>
      </w:r>
    </w:p>
    <w:p>
      <w:pPr>
        <w:spacing w:after="40" w:before="40" w:line="252" w:lineRule="auto"/>
        <w:ind w:left="480" w:hanging="480"/>
      </w:pPr>
      <w:r>
        <w:rPr>
          <w:rFonts w:ascii="Times New Roman" w:cs="Times New Roman" w:eastAsia="Times New Roman" w:hAnsi="Times New Roman"/>
          <w:sz w:val="18"/>
          <w:szCs w:val="18"/>
        </w:rPr>
        <w:t xml:space="preserve">[9]  W. Qiao et al., “Quantifying effectiveness of team recommendation for collaborative software development,“ Automated Software Engineering, vol. 29, 2022. DOI: 10.1007/s10515-022-00357-7.</w:t>
      </w:r>
    </w:p>
    <w:p>
      <w:pPr>
        <w:spacing w:after="40" w:before="40" w:line="252" w:lineRule="auto"/>
        <w:ind w:left="480" w:hanging="480"/>
      </w:pPr>
      <w:r>
        <w:rPr>
          <w:rFonts w:ascii="Times New Roman" w:cs="Times New Roman" w:eastAsia="Times New Roman" w:hAnsi="Times New Roman"/>
          <w:sz w:val="18"/>
          <w:szCs w:val="18"/>
        </w:rPr>
        <w:t xml:space="preserve">[10] I. Lykourentzou et al., “Compatibility of small team personalities in computer-based tasks,“ Multimodal Technologies and Interaction, vol. 10, no. 1, p. 29, 2019.</w:t>
      </w:r>
    </w:p>
    <w:p>
      <w:pPr>
        <w:spacing w:after="40" w:before="40" w:line="252" w:lineRule="auto"/>
        <w:ind w:left="480" w:hanging="480"/>
      </w:pPr>
      <w:r>
        <w:rPr>
          <w:rFonts w:ascii="Times New Roman" w:cs="Times New Roman" w:eastAsia="Times New Roman" w:hAnsi="Times New Roman"/>
          <w:sz w:val="18"/>
          <w:szCs w:val="18"/>
        </w:rPr>
        <w:t xml:space="preserve">[11] J. A. Horne and O. Östberg, “A self-assessment questionnaire to determine morningness-eveningness in human circadian rhythms,“ Int. Journal of Chronobiology, vol. 4, no. 2, pp. 97–110, 1976.</w:t>
      </w:r>
    </w:p>
    <w:p>
      <w:pPr>
        <w:spacing w:after="40" w:before="40" w:line="252" w:lineRule="auto"/>
        <w:ind w:left="480" w:hanging="480"/>
      </w:pPr>
      <w:r>
        <w:rPr>
          <w:rFonts w:ascii="Times New Roman" w:cs="Times New Roman" w:eastAsia="Times New Roman" w:hAnsi="Times New Roman"/>
          <w:sz w:val="18"/>
          <w:szCs w:val="18"/>
        </w:rPr>
        <w:t xml:space="preserve">[12] T. Roenneberg et al., “Epidemiology of the human circadian clock,“ Sleep Medicine Reviews, vol. 11, no. 6, pp. 429–438, 2007.</w:t>
      </w:r>
    </w:p>
    <w:p>
      <w:pPr>
        <w:spacing w:after="40" w:before="40" w:line="252" w:lineRule="auto"/>
        <w:ind w:left="480" w:hanging="480"/>
      </w:pPr>
      <w:r>
        <w:rPr>
          <w:rFonts w:ascii="Times New Roman" w:cs="Times New Roman" w:eastAsia="Times New Roman" w:hAnsi="Times New Roman"/>
          <w:sz w:val="18"/>
          <w:szCs w:val="18"/>
        </w:rPr>
        <w:t xml:space="preserve">[13] M. A. Fischer et al., “Applying circular statistics to the analysis of monitoring data,“ European Journal of Psychological Assessment, vol. 23, no. 4, pp. 227–237, 2007.</w:t>
      </w:r>
    </w:p>
    <w:p>
      <w:pPr>
        <w:spacing w:after="40" w:before="40" w:line="252" w:lineRule="auto"/>
        <w:ind w:left="480" w:hanging="480"/>
      </w:pPr>
      <w:r>
        <w:rPr>
          <w:rFonts w:ascii="Times New Roman" w:cs="Times New Roman" w:eastAsia="Times New Roman" w:hAnsi="Times New Roman"/>
          <w:sz w:val="18"/>
          <w:szCs w:val="18"/>
        </w:rPr>
        <w:t xml:space="preserve">[14] K. P. Batschelet, Circular Statistics in Biology. Academic Press, 1981.</w:t>
      </w:r>
    </w:p>
    <w:p>
      <w:pPr>
        <w:spacing w:after="40" w:before="40" w:line="252" w:lineRule="auto"/>
        <w:ind w:left="480" w:hanging="480"/>
      </w:pPr>
      <w:r>
        <w:rPr>
          <w:rFonts w:ascii="Times New Roman" w:cs="Times New Roman" w:eastAsia="Times New Roman" w:hAnsi="Times New Roman"/>
          <w:sz w:val="18"/>
          <w:szCs w:val="18"/>
        </w:rPr>
        <w:t xml:space="preserve">[15] A. Pewsey, M. Neuhäuser, and G. D. Ruxton, “Circular data in biology: advice for implementing statistical procedures,“ Behavioral Ecology and Sociobiology, vol. 72, p. 128, 2018.</w:t>
      </w:r>
    </w:p>
    <w:p>
      <w:pPr>
        <w:spacing w:after="40" w:before="40" w:line="252" w:lineRule="auto"/>
        <w:ind w:left="480" w:hanging="480"/>
      </w:pPr>
      <w:r>
        <w:rPr>
          <w:rFonts w:ascii="Times New Roman" w:cs="Times New Roman" w:eastAsia="Times New Roman" w:hAnsi="Times New Roman"/>
          <w:sz w:val="18"/>
          <w:szCs w:val="18"/>
        </w:rPr>
        <w:t xml:space="preserve">[16] T. Debnath and M. Song, “Fast optimal circular clustering,“ IEEE/ACM Trans. Computational Biology and Bioinformatics, 2021.</w:t>
      </w:r>
    </w:p>
    <w:p>
      <w:pPr>
        <w:spacing w:after="40" w:before="40" w:line="252" w:lineRule="auto"/>
        <w:ind w:left="480" w:hanging="480"/>
      </w:pPr>
      <w:r>
        <w:rPr>
          <w:rFonts w:ascii="Times New Roman" w:cs="Times New Roman" w:eastAsia="Times New Roman" w:hAnsi="Times New Roman"/>
          <w:sz w:val="18"/>
          <w:szCs w:val="18"/>
        </w:rPr>
        <w:t xml:space="preserve">[17] T. Lappas, K. Liu, and E. Terzi, “Finding a team of experts in social networks,“ in Proc. ACM SIGKDD, 2009, pp. 467–476.</w:t>
      </w:r>
    </w:p>
    <w:p>
      <w:pPr>
        <w:spacing w:after="40" w:before="40" w:line="252" w:lineRule="auto"/>
        <w:ind w:left="480" w:hanging="480"/>
      </w:pPr>
      <w:r>
        <w:rPr>
          <w:rFonts w:ascii="Times New Roman" w:cs="Times New Roman" w:eastAsia="Times New Roman" w:hAnsi="Times New Roman"/>
          <w:sz w:val="18"/>
          <w:szCs w:val="18"/>
        </w:rPr>
        <w:t xml:space="preserve">[18] W. J. van der Linden and C. A. W. Glas, Eds., Computerized Adaptive Testing: Theory and Practice. Kluwer Academic Publishers, 2000.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6" w:space="1"/>
      </w:pBdr>
      <w:tabs>
        <w:tab w:val="right" w:pos="10080"/>
      </w:tabs>
      <w:spacing w:after="0" w:before="80"/>
    </w:pPr>
    <w:r>
      <w:rPr>
        <w:rFonts w:ascii="Times New Roman" w:cs="Times New Roman" w:eastAsia="Times New Roman" w:hAnsi="Times New Roman"/>
        <w:color w:val="595959"/>
        <w:sz w:val="16"/>
        <w:szCs w:val="16"/>
      </w:rPr>
      <w:t xml:space="preserve">Khare — IIT Madras</w:t>
    </w:r>
    <w:r>
      <w:rPr>
        <w:sz w:val="16"/>
        <w:szCs w:val="16"/>
      </w:rPr>
      <w:t xml:space="preserve">	</w:t>
    </w:r>
    <w:r>
      <w:rPr>
        <w:rFonts w:ascii="Times New Roman" w:cs="Times New Roman" w:eastAsia="Times New Roman" w:hAnsi="Times New Roman"/>
        <w:color w:val="595959"/>
        <w:sz w:val="16"/>
        <w:szCs w:val="16"/>
      </w:rPr>
      <w:t xml:space="preserve">Page </w:t>
    </w:r>
    <w:fldSimple w:instr="PAGE">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1"/>
      </w:pBdr>
      <w:spacing w:after="80" w:before="0"/>
      <w:jc w:val="right"/>
    </w:pPr>
    <w:r>
      <w:rPr>
        <w:rFonts w:ascii="Times New Roman" w:cs="Times New Roman" w:eastAsia="Times New Roman" w:hAnsi="Times New Roman"/>
        <w:color w:val="595959"/>
        <w:sz w:val="16"/>
        <w:szCs w:val="16"/>
      </w:rPr>
      <w:t xml:space="preserve">IEEE WorldSUAS 2026  |  Track 2: Collaboration Technologies  |  </w:t>
    </w:r>
    <w:r>
      <w:rPr>
        <w:rFonts w:ascii="Times New Roman" w:cs="Times New Roman" w:eastAsia="Times New Roman" w:hAnsi="Times New Roman"/>
        <w:i/>
        <w:iCs/>
        <w:color w:val="2E5496"/>
        <w:sz w:val="16"/>
        <w:szCs w:val="16"/>
      </w:rPr>
      <w:t xml:space="preserve">GitSyntropy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decimal"/>
      <w:lvlText w:val="%1:"/>
      <w:lvlJc w:val="left"/>
      <w:pPr>
        <w:spacing w:after="0" w:before="0"/>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Times New Roman" w:cs="Times New Roman" w:eastAsia="Times New Roman" w:hAnsi="Times New Roman"/>
      <w:b/>
      <w:bCs/>
      <w:color w:val="1F3864"/>
      <w:sz w:val="22"/>
      <w:szCs w:val="22"/>
    </w:rPr>
  </w:style>
  <w:style w:type="paragraph" w:styleId="Heading2">
    <w:name w:val="Heading 2"/>
    <w:basedOn w:val="Normal"/>
    <w:next w:val="Normal"/>
    <w:qFormat/>
    <w:pPr>
      <w:spacing w:after="60" w:before="160"/>
      <w:outlineLvl w:val="1"/>
    </w:pPr>
    <w:rPr>
      <w:rFonts w:ascii="Times New Roman" w:cs="Times New Roman" w:eastAsia="Times New Roman" w:hAnsi="Times New Roman"/>
      <w:b/>
      <w:bCs/>
      <w:i/>
      <w:iCs/>
      <w:color w:val="2E549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2026-04-12T09:43:59.032Z</dcterms:created>
  <dcterms:modified xsi:type="dcterms:W3CDTF">2026-04-12T09:43:59.033Z</dcterms:modified>
</cp:coreProperties>
</file>

<file path=docProps/custom.xml><?xml version="1.0" encoding="utf-8"?>
<Properties xmlns="http://schemas.openxmlformats.org/officeDocument/2006/custom-properties" xmlns:vt="http://schemas.openxmlformats.org/officeDocument/2006/docPropsVTypes"/>
</file>