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Sample IEEE Paper for A4 Page Size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Author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Second Author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Third Author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First-Third Department, First-Third University</w:t>
        <w:br w:type="textWrapping"/>
        <w:t xml:space="preserve">Address Including Country Name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superscript"/>
          <w:rtl w:val="0"/>
        </w:rPr>
        <w:t xml:space="preserve">1</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first.author@first-third.edu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superscript"/>
          <w:rtl w:val="0"/>
        </w:rPr>
        <w:t xml:space="preserve">3</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third.author@first-third.edu</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Second Company</w:t>
        <w:br w:type="textWrapping"/>
        <w:t xml:space="preserve"> Address Including Country Name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superscript"/>
          <w:rtl w:val="0"/>
        </w:rPr>
        <w:t xml:space="preserve">2</w:t>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second.author@second.com</w:t>
      </w:r>
    </w:p>
    <w:p w:rsidR="00000000" w:rsidDel="00000000" w:rsidP="00000000" w:rsidRDefault="00000000" w:rsidRPr="00000000" w14:paraId="00000008">
      <w:pPr>
        <w:rPr/>
        <w:sectPr>
          <w:pgSz w:h="16838" w:w="11906" w:orient="portrait"/>
          <w:pgMar w:bottom="2438" w:top="1077" w:left="0" w:right="811" w:header="709" w:footer="709"/>
          <w:pgNumType w:start="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This document gives formatting instructions for authors preparing papers for publication in the Proceedings of an IEEE conference.  The authors must follow the instructions given in the document for the papers to be published.  You can use this document as both an instruction set and as a template into which you can type your own text.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i w:val="1"/>
          <w:iCs w:val="1"/>
          <w:sz w:val="18"/>
          <w:szCs w:val="18"/>
          <w:rtl w:val="0"/>
        </w:rPr>
        <w:t xml:space="preserve">Keywords</w:t>
      </w:r>
      <w:r w:rsidDel="00000000" w:rsidR="00000000" w:rsidRPr="00000000">
        <w:rPr>
          <w:rtl w:val="0"/>
        </w:rPr>
        <w:t xml:space="preserve">— </w:t>
      </w:r>
      <w:r w:rsidDel="00000000" w:rsidR="00000000" w:rsidRPr="00000000">
        <w:rPr>
          <w:b w:val="1"/>
          <w:bCs w:val="1"/>
          <w:sz w:val="18"/>
          <w:szCs w:val="18"/>
          <w:rtl w:val="0"/>
        </w:rPr>
        <w:t xml:space="preserve">Include at least 5 keywords or phrases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is a template.  An electronic copy can be downloaded from the conference website.  For questions on paper guidelines, please contact the conference publications committee as indicated on the conference website.  Information about final paper submission is available from the conference website.</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Page Layout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easy way to comply with the conference paper formatting requirements is to use this document as a template and simply type your text into it.</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Page Layout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paper must use a page size corresponding to A4 which is 210mm (8.27") wide and 297mm (11.69") long.  The margins must be set as follows:</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 19mm (0.75")</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Bottom = 43mm (1.69")</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 Right = 14.32mm (0.56")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paper must be in two column format with a space of 4.22mm (0.17") between columns.</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Page Style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paragraphs must be indented.  All paragraphs must be justified, i.e. both left-justified and right-justified.</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Text Font of Entire Document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entire document should be in Times New Roman or Times font.  Type 3 fonts must not be used.  Other font types may be used if needed for special purposes.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Recommended font sizes are shown in Table 1.</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Title and Author Details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must be in 24 pt Regular font.  Author name must be in 11 pt Regular font.  Author affiliation must be in 10 pt Italic.  Email address must be in 9 pt Courier Regular font.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w:t>
        <w:br w:type="textWrapping"/>
        <w:t xml:space="preserve">Font Sizes for Papers</w:t>
      </w:r>
    </w:p>
    <w:tbl>
      <w:tblPr>
        <w:tblStyle w:val="Table1"/>
        <w:tblW w:w="5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1762"/>
        <w:gridCol w:w="1080"/>
        <w:gridCol w:w="1605"/>
        <w:tblGridChange w:id="0">
          <w:tblGrid>
            <w:gridCol w:w="580"/>
            <w:gridCol w:w="1762"/>
            <w:gridCol w:w="1080"/>
            <w:gridCol w:w="1605"/>
          </w:tblGrid>
        </w:tblGridChange>
      </w:tblGrid>
      <w:tr>
        <w:trPr>
          <w:cantSplit w:val="0"/>
          <w:tblHeader w:val="0"/>
        </w:trPr>
        <w:tc>
          <w:tcPr>
            <w:vMerge w:val="restart"/>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Font Size</w:t>
            </w:r>
          </w:p>
        </w:tc>
        <w:tc>
          <w:tcPr>
            <w:gridSpan w:val="3"/>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Appearance (in Time New Roman or Times)</w:t>
            </w:r>
          </w:p>
        </w:tc>
      </w:tr>
      <w:tr>
        <w:trPr>
          <w:cantSplit w:val="0"/>
          <w:tblHeader w:val="0"/>
        </w:trPr>
        <w:tc>
          <w:tcPr>
            <w:vMerge w:val="continue"/>
            <w:shd w:fill="auto"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Regular</w:t>
            </w:r>
          </w:p>
        </w:tc>
        <w:tc>
          <w:tcPr>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Bold</w:t>
            </w:r>
          </w:p>
        </w:tc>
        <w:tc>
          <w:tcPr>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Italic</w:t>
            </w:r>
          </w:p>
        </w:tc>
      </w:tr>
      <w:tr>
        <w:trPr>
          <w:cantSplit w:val="0"/>
          <w:tblHeader w:val="0"/>
        </w:trPr>
        <w:tc>
          <w:tcPr>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p>
        </w:tc>
        <w:tc>
          <w:tcPr>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table caption (in Small Caps),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figure caption,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reference item</w:t>
            </w:r>
          </w:p>
        </w:tc>
        <w:tc>
          <w:tcPr>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reference item (partial)</w:t>
            </w:r>
          </w:p>
        </w:tc>
      </w:tr>
      <w:tr>
        <w:trPr>
          <w:cantSplit w:val="0"/>
          <w:tblHeader w:val="0"/>
        </w:trPr>
        <w:tc>
          <w:tcPr>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w:t>
            </w:r>
          </w:p>
        </w:tc>
        <w:tc>
          <w:tcPr>
            <w:shd w:fill="auto"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author email address (in Courier),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cell in a table</w:t>
            </w:r>
          </w:p>
        </w:tc>
        <w:tc>
          <w:tcPr>
            <w:shd w:fill="auto"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abstract body</w:t>
            </w:r>
          </w:p>
        </w:tc>
        <w:tc>
          <w:tcPr>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abstract heading (also in Bold)</w:t>
            </w:r>
          </w:p>
        </w:tc>
      </w:tr>
      <w:tr>
        <w:trPr>
          <w:cantSplit w:val="0"/>
          <w:tblHeader w:val="0"/>
        </w:trPr>
        <w:tc>
          <w:tcPr>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p>
        </w:tc>
        <w:tc>
          <w:tcPr>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level-1 heading (in Small Caps),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paragraph</w:t>
            </w:r>
          </w:p>
        </w:tc>
        <w:tc>
          <w:tcPr>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level-2 heading,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level-3 heading,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author affiliation</w:t>
            </w:r>
          </w:p>
        </w:tc>
      </w:tr>
      <w:tr>
        <w:trPr>
          <w:cantSplit w:val="0"/>
          <w:tblHeader w:val="0"/>
        </w:trPr>
        <w:tc>
          <w:tcPr>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w:t>
            </w:r>
          </w:p>
        </w:tc>
        <w:tc>
          <w:tcPr>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author name</w:t>
            </w:r>
          </w:p>
        </w:tc>
        <w:tc>
          <w:tcPr>
            <w:shd w:fill="auto"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w:t>
            </w:r>
          </w:p>
        </w:tc>
        <w:tc>
          <w:tcPr>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title</w:t>
            </w:r>
          </w:p>
        </w:tc>
        <w:tc>
          <w:tcPr>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title and author details must be in single-column format and must be centered.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word in a title must be capitalized except for short minor words such as “a”, “an”, “and”, “as”, “at”, “by”, “for”, “from”, “if”, “in”, “into”, “on”, “or”, “of”, “the”, “to”, “with”.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 details must not show any professional title (e.g. Managing Director), any academic title (e.g. Dr.) or any membership of any professional organization (e.g. Senior Member IEEE).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avoid confusion, the family name must be written as the last part of each author name (e.g. John A.K. Smith).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affiliation must include, at the very least, the name of the company and the name of the country where the author is based (e.g. Causal Productions Pty Ltd, Australia).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address is compulsory for the corresponding author.</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Section Headings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more than 3 levels of headings should be used.  All headings must be in 10pt font.  Every word in a heading must be capitalized except for short minor words as listed in Section III-B.</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Level-1 Heading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level-1 heading must be in Small Caps, centered and numbered using uppercase Roman numerals.  For example, see heading “III. Page Style” of this document.  The two level-1 headings which must not be numbered are “Acknowledgment” and “References”.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Level-2 Heading: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level-2 heading must be in Italic, left-justified and numbered using an uppercase alphabetic letter followed by a period.  For example, see heading “C. Section Headings” above.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Level-3 Heading: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level-3 heading must be indented,  in Italic and numbered with an Arabic numeral followed by a right parenthesis. The level-3 heading must end with a colon.  The body of the level-3 section immediately follows the level-3 heading in the same paragraph.  For example, this paragraph begins with a level-3 heading.</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Figures and Tables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Figures and tables must be centered in the column.  Large figures and tables may span across both columns.  Any table or figure that takes up more than 1 column width must be positioned either at the top or at the bottom of the page.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Graphics may be full color.  All colors will be retained on the CDROM.  Graphics must not use stipple fill patterns because they may not be reproduced properly.  Please use only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SOLID 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colors which contrast well both on screen and on a black-and-white hardcopy, as shown in Fig. 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466975" cy="1790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669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A sample line graph using colors which contrast well both on screen and on a black-and-white hardcopy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 shows an example of a low-resolution image which would not be acceptable, whereas Fig. 3 shows an example of an image with adequate resolution.  Check that the resolution is adequate to reveal the important detail in the figure.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check all figures in your paper both on screen and on a black-and-white hardcopy.  When you check your paper on a black-and-white hardcopy, please ensure that:</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colors used in each figure contrast well,</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image used in each figure is clear,</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text labels in each figure are legible.</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Captions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Figures must be numbered using Arabic numerals.  Figure captions must be in 8 pt Regular font.  Captions of a single line (e.g. Fig. 2) must be centered whereas multi-line captions must be justified (e.g. Fig. 1).  Captions with figure numbers must be placed after their associated figures, as shown in     Fig. 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628775" cy="23336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2877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2  Example of an unacceptable low-resolution image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533525" cy="22383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335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3  Example of an image with acceptable resolution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Captions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Tables must be numbered using uppercase Roman numerals.  Table captions must be centred and in 8 pt Regular font with Small Caps.  Every word in a table caption must be capitalized except for short minor words as listed in Section III-B.  Captions with table numbers must be placed before their associated tables, as shown in Table 1.</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Page Numbers, Headers and Footers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numbers, headers and footers must not be used.</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Links and Bookmarks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hypertext links and section bookmarks will be removed from papers during the processing of papers for publication.  If you need to refer to an Internet email address or URL in your paper, you must type out the address or URL fully in Regular font.</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br w:type="column"/>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heading of the References section must not be numbered.  All reference items must be in 8 pt font.  Please use Regular and Italic styles to distinguish different fields as shown in the References section.  Number the reference items consecutively in square brackets (e.g. [1]).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referring to a reference item, please simply use the reference number, as in [2].  Do not use “Ref. [3]” or “Reference [3]” except at the beginning of a sentence, e.g.  “Reference [3] shows …”.  Multiple references are each numbered with separate brackets (e.g. [2], [3], [4]–[6]).</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of reference items of different categories shown in the References section include:</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book in [1]</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book in a series in [2]</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journal article in [3]</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conference paper in [4]</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patent in [5]</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website in [6]</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web page in [7]</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databook as a manual in [8]</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datasheet in [9]</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master’s thesis in [10]</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technical report in [11]</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standard in [12]</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Conclusions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version of this template is V2.  Most of the formatting instructions in this document have been compiled by Causal Productions from the IEEE LaTeX style files.  Causal Productions offers both A4 templates and US Letter templates for LaTeX and Microsoft Word.  The LaTeX templates depend on the official IEEEtran.cls and IEEEtran.bst files, whereas the Microsoft Word templates are self-contained.  Causal Productions has used its best efforts to ensure that the templates have the same appearance.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Causal Productions permits the distribution and revision of these templates on the condition that Causal Productions is credited in the revised template as follows:  “original version of this template was provided by courtesy of Causal Productions (www.causalproductions.com)”.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Acknowledgment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heading of the Acknowledgment section and the References section must not be numbered.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Causal Productions wishes to acknowledge Michael Shell and other contributors for developing and maintaining the IEEE LaTeX style files which have been used in the preparation of this template.  To see the list of contributors, please refer to the top of file IEEETran.cls in the IEEE LaTeX distribution.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M. Metev and V. P. Veiko,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Laser Assisted Microtechnology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2nd ed., R. M. Osgood, Jr., Ed.  Berlin, Germany: Springer-Verlag, 1998.</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Breckling, Ed.,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The Analysis of Directional Time Series: Applications to Wind Speed and Direction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ser. Lecture Notes in Statistics.  Berlin, Germany: Springer, 1989, vol. 61.</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Zhang, C. Zhu, J. K. O. Sin, and P. K. T. Mok, “A novel ultrathin elevated channel low-temperature poly-Si TFT,”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IEEE Electron Device Lett.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20, pp. 569–571, Nov. 1999.</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Wegmuller, J. P. von der Weid, P. Oberson, and N. Gisin, “High resolution fiber distributed measurements with coherent OFDR,” in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Proc. ECOC’00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2000, paper 11.3.4, p. 109.</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E. Sorace, V. S. Reinhardt, and S. A. Vaughn, “High-speed digital-to-RF converter,” U.S. Patent 5 668 842, Sept. 16, 1997.</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(2002) The IEEE website. [Online]. Available: http://www.ieee.org/</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Shell. (2002) IEEEtran homepage on CTAN. [Online]. Available: http://www.ctan.org/tex-archive/macros/latex/contrib/supported/IEEEtran/</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FLEXChip Signal Processor (MC68175/D)</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Motorola, 1996.</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“PDCA12-70 data sheet,” Opto Speed SA, Mezzovico, Switzerland.</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Karnik, “Performance of TCP congestion control with rate feedback: TCP/ABR and rate adaptive TCP/IP,” M. Eng. thesis, Indian Institute of Science, Bangalore, India, Jan. 1999.</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Padhye, V. Firoiu, and D. Towsley, “A stochastic model of TCP Reno congestion avoidance and control,” Univ. of Massachusetts, Amherst, MA, CMPSCI Tech. Rep. 99-02, 1999.</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ectPr>
          <w:type w:val="continuous"/>
          <w:pgSz w:h="16838" w:w="11906" w:orient="portrait"/>
          <w:pgMar w:bottom="2438" w:top="1077" w:left="811" w:right="811" w:header="709" w:footer="709"/>
          <w:cols w:equalWidth="0" w:num="2">
            <w:col w:space="238" w:w="5023.000000000001"/>
            <w:col w:space="0" w:w="5023.000000000001"/>
          </w:cols>
        </w:sect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Wireless LAN Medium Access Control (MAC) and Physical Layer (PHY) Specification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IEEE Std. 802.11, 1997.</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16"/>
          <w:szCs w:val="16"/>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16"/>
          <w:szCs w:val="16"/>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16"/>
          <w:szCs w:val="16"/>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To draft a high-impact manuscript for IEEE WorldSUAS 2026, the process must move from mathematical formalization to narrative synthesis. This plan and template ensure the "GitSyntropy" platform is presented not just as a tool, but as a rigorous contribution to software engineering research.</w:t>
      </w:r>
    </w:p>
    <w:p w:rsidR="00000000" w:rsidDel="00000000" w:rsidP="00000000" w:rsidRDefault="00000000" w:rsidRPr="00000000" w14:paraId="000000BC">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jc w:val="both"/>
        <w:rPr>
          <w:color w:val="1f1f1f"/>
        </w:rPr>
      </w:pPr>
      <w:bookmarkStart w:colFirst="0" w:colLast="0" w:name="_heading=h.j9raqnfty6jk" w:id="0"/>
      <w:bookmarkEnd w:id="0"/>
      <w:r w:rsidDel="00000000" w:rsidR="00000000" w:rsidRPr="00000000">
        <w:rPr>
          <w:color w:val="1f1f1f"/>
          <w:rtl w:val="0"/>
        </w:rPr>
        <w:t xml:space="preserve">Step-by-Step Drafting Plan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Phase 1: Mathematical Formalization (Days 1-3)</w:t>
      </w:r>
    </w:p>
    <w:p w:rsidR="00000000" w:rsidDel="00000000" w:rsidP="00000000" w:rsidRDefault="00000000" w:rsidRPr="00000000" w14:paraId="000000BE">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Task:</w:t>
      </w:r>
      <w:r w:rsidDel="00000000" w:rsidR="00000000" w:rsidRPr="00000000">
        <w:rPr>
          <w:rFonts w:ascii="Arial" w:cs="Arial" w:eastAsia="Arial" w:hAnsi="Arial"/>
          <w:color w:val="1f1f1f"/>
          <w:sz w:val="16"/>
          <w:szCs w:val="16"/>
          <w:rtl w:val="0"/>
        </w:rPr>
        <w:t xml:space="preserve"> Finalize the formulas for the Circular K-Means clustering.</w:t>
      </w:r>
    </w:p>
    <w:p w:rsidR="00000000" w:rsidDel="00000000" w:rsidP="00000000" w:rsidRDefault="00000000" w:rsidRPr="00000000" w14:paraId="000000BF">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Action:</w:t>
      </w:r>
      <w:r w:rsidDel="00000000" w:rsidR="00000000" w:rsidRPr="00000000">
        <w:rPr>
          <w:rFonts w:ascii="Arial" w:cs="Arial" w:eastAsia="Arial" w:hAnsi="Arial"/>
          <w:color w:val="1f1f1f"/>
          <w:sz w:val="16"/>
          <w:szCs w:val="16"/>
          <w:rtl w:val="0"/>
        </w:rPr>
        <w:t xml:space="preserve"> Explicitly write out the transformation $(x,y) = (\cos(2\pi h/24), \sin(2\pi h/24))$.</w:t>
      </w:r>
    </w:p>
    <w:p w:rsidR="00000000" w:rsidDel="00000000" w:rsidP="00000000" w:rsidRDefault="00000000" w:rsidRPr="00000000" w14:paraId="000000C0">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Goal:</w:t>
      </w:r>
      <w:r w:rsidDel="00000000" w:rsidR="00000000" w:rsidRPr="00000000">
        <w:rPr>
          <w:rFonts w:ascii="Arial" w:cs="Arial" w:eastAsia="Arial" w:hAnsi="Arial"/>
          <w:color w:val="1f1f1f"/>
          <w:sz w:val="16"/>
          <w:szCs w:val="16"/>
          <w:rtl w:val="0"/>
        </w:rPr>
        <w:t xml:space="preserve"> Ensure the Methodology section has "hard" notation that a Data Science reviewer can verify.</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Phase 2: Data Extraction &amp; Visualization (Days 4-6)</w:t>
      </w:r>
    </w:p>
    <w:p w:rsidR="00000000" w:rsidDel="00000000" w:rsidP="00000000" w:rsidRDefault="00000000" w:rsidRPr="00000000" w14:paraId="000000C2">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Task:</w:t>
      </w:r>
      <w:r w:rsidDel="00000000" w:rsidR="00000000" w:rsidRPr="00000000">
        <w:rPr>
          <w:rFonts w:ascii="Arial" w:cs="Arial" w:eastAsia="Arial" w:hAnsi="Arial"/>
          <w:color w:val="1f1f1f"/>
          <w:sz w:val="16"/>
          <w:szCs w:val="16"/>
          <w:rtl w:val="0"/>
        </w:rPr>
        <w:t xml:space="preserve"> Generate the "Proof of Concept" data.</w:t>
      </w:r>
    </w:p>
    <w:p w:rsidR="00000000" w:rsidDel="00000000" w:rsidP="00000000" w:rsidRDefault="00000000" w:rsidRPr="00000000" w14:paraId="000000C3">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Action:</w:t>
      </w:r>
      <w:r w:rsidDel="00000000" w:rsidR="00000000" w:rsidRPr="00000000">
        <w:rPr>
          <w:rFonts w:ascii="Arial" w:cs="Arial" w:eastAsia="Arial" w:hAnsi="Arial"/>
          <w:color w:val="1f1f1f"/>
          <w:sz w:val="16"/>
          <w:szCs w:val="16"/>
          <w:rtl w:val="0"/>
        </w:rPr>
        <w:t xml:space="preserve"> Run a comparison between linear and circular clustering on a sample of 10,000 commit author timestamps. Create a line chart showing the "Midnight Boundary Error" drop.</w:t>
      </w:r>
    </w:p>
    <w:p w:rsidR="00000000" w:rsidDel="00000000" w:rsidP="00000000" w:rsidRDefault="00000000" w:rsidRPr="00000000" w14:paraId="000000C4">
      <w:pPr>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Goal:</w:t>
      </w:r>
      <w:r w:rsidDel="00000000" w:rsidR="00000000" w:rsidRPr="00000000">
        <w:rPr>
          <w:rFonts w:ascii="Arial" w:cs="Arial" w:eastAsia="Arial" w:hAnsi="Arial"/>
          <w:color w:val="1f1f1f"/>
          <w:sz w:val="16"/>
          <w:szCs w:val="16"/>
          <w:rtl w:val="0"/>
        </w:rPr>
        <w:t xml:space="preserve"> Populate the Results section with empirical evidence.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Phase 3: The "Ashtakoot" Technical Bridge (Days 7-9)</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Task:</w:t>
      </w:r>
      <w:r w:rsidDel="00000000" w:rsidR="00000000" w:rsidRPr="00000000">
        <w:rPr>
          <w:rFonts w:ascii="Arial" w:cs="Arial" w:eastAsia="Arial" w:hAnsi="Arial"/>
          <w:color w:val="1f1f1f"/>
          <w:sz w:val="16"/>
          <w:szCs w:val="16"/>
          <w:rtl w:val="0"/>
        </w:rPr>
        <w:t xml:space="preserve"> Justify the weighting.</w:t>
      </w:r>
    </w:p>
    <w:p w:rsidR="00000000" w:rsidDel="00000000" w:rsidP="00000000" w:rsidRDefault="00000000" w:rsidRPr="00000000" w14:paraId="000000C7">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Action:</w:t>
      </w:r>
      <w:r w:rsidDel="00000000" w:rsidR="00000000" w:rsidRPr="00000000">
        <w:rPr>
          <w:rFonts w:ascii="Arial" w:cs="Arial" w:eastAsia="Arial" w:hAnsi="Arial"/>
          <w:color w:val="1f1f1f"/>
          <w:sz w:val="16"/>
          <w:szCs w:val="16"/>
          <w:rtl w:val="0"/>
        </w:rPr>
        <w:t xml:space="preserve"> Map the 8 dimensions to their specific "Coordination Cost" rationale. For example, explicitly link </w:t>
      </w:r>
      <w:r w:rsidDel="00000000" w:rsidR="00000000" w:rsidRPr="00000000">
        <w:rPr>
          <w:rFonts w:ascii="Arial" w:cs="Arial" w:eastAsia="Arial" w:hAnsi="Arial"/>
          <w:i w:val="1"/>
          <w:iCs w:val="1"/>
          <w:color w:val="1f1f1f"/>
          <w:sz w:val="16"/>
          <w:szCs w:val="16"/>
          <w:rtl w:val="0"/>
        </w:rPr>
        <w:t xml:space="preserve">Nadi</w:t>
      </w:r>
      <w:r w:rsidDel="00000000" w:rsidR="00000000" w:rsidRPr="00000000">
        <w:rPr>
          <w:rFonts w:ascii="Arial" w:cs="Arial" w:eastAsia="Arial" w:hAnsi="Arial"/>
          <w:color w:val="1f1f1f"/>
          <w:sz w:val="16"/>
          <w:szCs w:val="16"/>
          <w:rtl w:val="0"/>
        </w:rPr>
        <w:t xml:space="preserve"> (Chronotype) to the $w=8$ weight by citing asynchronous communication latency.</w:t>
      </w:r>
    </w:p>
    <w:p w:rsidR="00000000" w:rsidDel="00000000" w:rsidP="00000000" w:rsidRDefault="00000000" w:rsidRPr="00000000" w14:paraId="000000C8">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Goal:</w:t>
      </w:r>
      <w:r w:rsidDel="00000000" w:rsidR="00000000" w:rsidRPr="00000000">
        <w:rPr>
          <w:rFonts w:ascii="Arial" w:cs="Arial" w:eastAsia="Arial" w:hAnsi="Arial"/>
          <w:color w:val="1f1f1f"/>
          <w:sz w:val="16"/>
          <w:szCs w:val="16"/>
          <w:rtl w:val="0"/>
        </w:rPr>
        <w:t xml:space="preserve"> Transform the framework from a cultural nod into a formalized Multi-Criteria Decision-Making (MCDM) model.</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Phase 4: Synthesis &amp; Ethics (Days 10-12)</w:t>
      </w:r>
    </w:p>
    <w:p w:rsidR="00000000" w:rsidDel="00000000" w:rsidP="00000000" w:rsidRDefault="00000000" w:rsidRPr="00000000" w14:paraId="000000CA">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Task:</w:t>
      </w:r>
      <w:r w:rsidDel="00000000" w:rsidR="00000000" w:rsidRPr="00000000">
        <w:rPr>
          <w:rFonts w:ascii="Arial" w:cs="Arial" w:eastAsia="Arial" w:hAnsi="Arial"/>
          <w:color w:val="1f1f1f"/>
          <w:sz w:val="16"/>
          <w:szCs w:val="16"/>
          <w:rtl w:val="0"/>
        </w:rPr>
        <w:t xml:space="preserve"> Draft the Abstract, Introduction, and Ethics sections.</w:t>
      </w:r>
    </w:p>
    <w:p w:rsidR="00000000" w:rsidDel="00000000" w:rsidP="00000000" w:rsidRDefault="00000000" w:rsidRPr="00000000" w14:paraId="000000CB">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Action:</w:t>
      </w:r>
      <w:r w:rsidDel="00000000" w:rsidR="00000000" w:rsidRPr="00000000">
        <w:rPr>
          <w:rFonts w:ascii="Arial" w:cs="Arial" w:eastAsia="Arial" w:hAnsi="Arial"/>
          <w:color w:val="1f1f1f"/>
          <w:sz w:val="16"/>
          <w:szCs w:val="16"/>
          <w:rtl w:val="0"/>
        </w:rPr>
        <w:t xml:space="preserve"> Focus on the "Passive Data Collection" as a solution to "Social Desirability Bias." Draft the Privacy Roadmap to preemptively address surveillance concerns.</w:t>
      </w:r>
    </w:p>
    <w:p w:rsidR="00000000" w:rsidDel="00000000" w:rsidP="00000000" w:rsidRDefault="00000000" w:rsidRPr="00000000" w14:paraId="000000CC">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Goal:</w:t>
      </w:r>
      <w:r w:rsidDel="00000000" w:rsidR="00000000" w:rsidRPr="00000000">
        <w:rPr>
          <w:rFonts w:ascii="Arial" w:cs="Arial" w:eastAsia="Arial" w:hAnsi="Arial"/>
          <w:color w:val="1f1f1f"/>
          <w:sz w:val="16"/>
          <w:szCs w:val="16"/>
          <w:rtl w:val="0"/>
        </w:rPr>
        <w:t xml:space="preserve"> Create a cohesive narrative that flows from problem to solution.</w:t>
      </w:r>
    </w:p>
    <w:p w:rsidR="00000000" w:rsidDel="00000000" w:rsidP="00000000" w:rsidRDefault="00000000" w:rsidRPr="00000000" w14:paraId="000000CD">
      <w:pPr>
        <w:spacing w:line="276" w:lineRule="auto"/>
        <w:jc w:val="both"/>
        <w:rPr>
          <w:rFonts w:ascii="Arial" w:cs="Arial" w:eastAsia="Arial" w:hAnsi="Arial"/>
          <w:color w:val="1f1f1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jc w:val="both"/>
        <w:rPr>
          <w:color w:val="1f1f1f"/>
        </w:rPr>
      </w:pPr>
      <w:bookmarkStart w:colFirst="0" w:colLast="0" w:name="_heading=h.2fy0wmiercbw" w:id="1"/>
      <w:bookmarkEnd w:id="1"/>
      <w:r w:rsidDel="00000000" w:rsidR="00000000" w:rsidRPr="00000000">
        <w:rPr>
          <w:color w:val="1f1f1f"/>
          <w:rtl w:val="0"/>
        </w:rPr>
        <w:t xml:space="preserve">IEEE 2-Column Manuscript Template (Simulated)</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Below is the structural layout for the Google Doc. When setting up the document, go to </w:t>
      </w:r>
      <w:r w:rsidDel="00000000" w:rsidR="00000000" w:rsidRPr="00000000">
        <w:rPr>
          <w:rFonts w:ascii="Arial" w:cs="Arial" w:eastAsia="Arial" w:hAnsi="Arial"/>
          <w:b w:val="1"/>
          <w:bCs w:val="1"/>
          <w:color w:val="1f1f1f"/>
          <w:sz w:val="16"/>
          <w:szCs w:val="16"/>
          <w:rtl w:val="0"/>
        </w:rPr>
        <w:t xml:space="preserve">Format &gt; Columns &gt; 2 Columns</w:t>
      </w:r>
      <w:r w:rsidDel="00000000" w:rsidR="00000000" w:rsidRPr="00000000">
        <w:rPr>
          <w:rFonts w:ascii="Arial" w:cs="Arial" w:eastAsia="Arial" w:hAnsi="Arial"/>
          <w:color w:val="1f1f1f"/>
          <w:sz w:val="16"/>
          <w:szCs w:val="16"/>
          <w:rtl w:val="0"/>
        </w:rPr>
        <w:t xml:space="preserve">.</w:t>
      </w:r>
    </w:p>
    <w:p w:rsidR="00000000" w:rsidDel="00000000" w:rsidP="00000000" w:rsidRDefault="00000000" w:rsidRPr="00000000" w14:paraId="000000D0">
      <w:pPr>
        <w:spacing w:line="276" w:lineRule="auto"/>
        <w:jc w:val="both"/>
        <w:rPr>
          <w:rFonts w:ascii="Arial" w:cs="Arial" w:eastAsia="Arial" w:hAnsi="Arial"/>
          <w:color w:val="1f1f1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color w:val="1f1f1f"/>
          <w:sz w:val="46"/>
          <w:szCs w:val="46"/>
        </w:rPr>
      </w:pPr>
      <w:bookmarkStart w:colFirst="0" w:colLast="0" w:name="_heading=h.l54u1xrutxx9" w:id="2"/>
      <w:bookmarkEnd w:id="2"/>
      <w:r w:rsidDel="00000000" w:rsidR="00000000" w:rsidRPr="00000000">
        <w:rPr>
          <w:color w:val="1f1f1f"/>
          <w:sz w:val="46"/>
          <w:szCs w:val="46"/>
          <w:rtl w:val="0"/>
        </w:rPr>
        <w:t xml:space="preserve">Predicting Software Team Compatibility via Behavioral Telemetry and Adaptive Psychometric Profiling</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i w:val="1"/>
          <w:iCs w:val="1"/>
          <w:color w:val="1f1f1f"/>
          <w:sz w:val="16"/>
          <w:szCs w:val="16"/>
        </w:rPr>
      </w:pPr>
      <w:r w:rsidDel="00000000" w:rsidR="00000000" w:rsidRPr="00000000">
        <w:rPr>
          <w:rFonts w:ascii="Arial" w:cs="Arial" w:eastAsia="Arial" w:hAnsi="Arial"/>
          <w:b w:val="1"/>
          <w:bCs w:val="1"/>
          <w:color w:val="1f1f1f"/>
          <w:sz w:val="16"/>
          <w:szCs w:val="16"/>
          <w:rtl w:val="0"/>
        </w:rPr>
        <w:t xml:space="preserve">Author Name(s)</w:t>
      </w:r>
      <w:r w:rsidDel="00000000" w:rsidR="00000000" w:rsidRPr="00000000">
        <w:rPr>
          <w:rFonts w:ascii="Arial" w:cs="Arial" w:eastAsia="Arial" w:hAnsi="Arial"/>
          <w:color w:val="1f1f1f"/>
          <w:sz w:val="16"/>
          <w:szCs w:val="16"/>
          <w:rtl w:val="0"/>
        </w:rPr>
        <w:t xml:space="preserve"> </w:t>
      </w:r>
      <w:r w:rsidDel="00000000" w:rsidR="00000000" w:rsidRPr="00000000">
        <w:rPr>
          <w:rFonts w:ascii="Arial" w:cs="Arial" w:eastAsia="Arial" w:hAnsi="Arial"/>
          <w:i w:val="1"/>
          <w:iCs w:val="1"/>
          <w:color w:val="1f1f1f"/>
          <w:sz w:val="16"/>
          <w:szCs w:val="16"/>
          <w:rtl w:val="0"/>
        </w:rPr>
        <w:t xml:space="preserve">Department of Computer Science</w:t>
      </w:r>
      <w:r w:rsidDel="00000000" w:rsidR="00000000" w:rsidRPr="00000000">
        <w:rPr>
          <w:rFonts w:ascii="Arial" w:cs="Arial" w:eastAsia="Arial" w:hAnsi="Arial"/>
          <w:color w:val="1f1f1f"/>
          <w:sz w:val="16"/>
          <w:szCs w:val="16"/>
          <w:rtl w:val="0"/>
        </w:rPr>
        <w:t xml:space="preserve"> </w:t>
      </w:r>
      <w:r w:rsidDel="00000000" w:rsidR="00000000" w:rsidRPr="00000000">
        <w:rPr>
          <w:rFonts w:ascii="Arial" w:cs="Arial" w:eastAsia="Arial" w:hAnsi="Arial"/>
          <w:i w:val="1"/>
          <w:iCs w:val="1"/>
          <w:color w:val="1f1f1f"/>
          <w:sz w:val="16"/>
          <w:szCs w:val="16"/>
          <w:rtl w:val="0"/>
        </w:rPr>
        <w:t xml:space="preserve">University Name</w:t>
      </w:r>
      <w:r w:rsidDel="00000000" w:rsidR="00000000" w:rsidRPr="00000000">
        <w:rPr>
          <w:rFonts w:ascii="Arial" w:cs="Arial" w:eastAsia="Arial" w:hAnsi="Arial"/>
          <w:color w:val="1f1f1f"/>
          <w:sz w:val="16"/>
          <w:szCs w:val="16"/>
          <w:rtl w:val="0"/>
        </w:rPr>
        <w:t xml:space="preserve"> </w:t>
      </w:r>
      <w:r w:rsidDel="00000000" w:rsidR="00000000" w:rsidRPr="00000000">
        <w:rPr>
          <w:rFonts w:ascii="Arial" w:cs="Arial" w:eastAsia="Arial" w:hAnsi="Arial"/>
          <w:i w:val="1"/>
          <w:iCs w:val="1"/>
          <w:color w:val="1f1f1f"/>
          <w:sz w:val="16"/>
          <w:szCs w:val="16"/>
          <w:rtl w:val="0"/>
        </w:rPr>
        <w:t xml:space="preserve">City, Country</w:t>
      </w:r>
      <w:r w:rsidDel="00000000" w:rsidR="00000000" w:rsidRPr="00000000">
        <w:rPr>
          <w:rFonts w:ascii="Arial" w:cs="Arial" w:eastAsia="Arial" w:hAnsi="Arial"/>
          <w:color w:val="1f1f1f"/>
          <w:sz w:val="16"/>
          <w:szCs w:val="16"/>
          <w:rtl w:val="0"/>
        </w:rPr>
        <w:t xml:space="preserve"> </w:t>
      </w:r>
      <w:r w:rsidDel="00000000" w:rsidR="00000000" w:rsidRPr="00000000">
        <w:rPr>
          <w:rFonts w:ascii="Arial" w:cs="Arial" w:eastAsia="Arial" w:hAnsi="Arial"/>
          <w:i w:val="1"/>
          <w:iCs w:val="1"/>
          <w:color w:val="1f1f1f"/>
          <w:sz w:val="16"/>
          <w:szCs w:val="16"/>
          <w:rtl w:val="0"/>
        </w:rPr>
        <w:t xml:space="preserve">Email Address</w:t>
      </w:r>
    </w:p>
    <w:p w:rsidR="00000000" w:rsidDel="00000000" w:rsidP="00000000" w:rsidRDefault="00000000" w:rsidRPr="00000000" w14:paraId="000000D3">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jc w:val="both"/>
        <w:rPr>
          <w:color w:val="1f1f1f"/>
        </w:rPr>
      </w:pPr>
      <w:bookmarkStart w:colFirst="0" w:colLast="0" w:name="_heading=h.makm8cxctqnx" w:id="3"/>
      <w:bookmarkEnd w:id="3"/>
      <w:r w:rsidDel="00000000" w:rsidR="00000000" w:rsidRPr="00000000">
        <w:rPr>
          <w:color w:val="1f1f1f"/>
          <w:rtl w:val="0"/>
        </w:rPr>
        <w:t xml:space="preserve">Abstract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This paper introduces GitSyntropy, a multi-agent system designed to quantify and predict software team compatibility. By integrating passive behavioral telemetry from Version Control Systems (VCS) with adaptive psychometric profiling, the system mitigates social desirability bias inherent in traditional assessments. We propose a novel circular-coordinate K-Means algorithm for chronotype detection and a multi-criteria decision-making (MCDM) engine based on an ascending integer weighting structure. Preliminary results indicate a significant reduction in classification error at the midnight boundary compared to linear models, while Monte Carlo simulations suggest improved team resilience prediction.</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b w:val="1"/>
          <w:bCs w:val="1"/>
          <w:color w:val="1f1f1f"/>
          <w:sz w:val="16"/>
          <w:szCs w:val="16"/>
          <w:rtl w:val="0"/>
        </w:rPr>
        <w:t xml:space="preserve">Keywords—</w:t>
      </w:r>
      <w:r w:rsidDel="00000000" w:rsidR="00000000" w:rsidRPr="00000000">
        <w:rPr>
          <w:rFonts w:ascii="Arial" w:cs="Arial" w:eastAsia="Arial" w:hAnsi="Arial"/>
          <w:color w:val="1f1f1f"/>
          <w:sz w:val="16"/>
          <w:szCs w:val="16"/>
          <w:rtl w:val="0"/>
        </w:rPr>
        <w:t xml:space="preserve"> Multi-Agent Systems, MSR, Team Dynamics, Circular Statistics, MCDM.</w:t>
      </w:r>
    </w:p>
    <w:p w:rsidR="00000000" w:rsidDel="00000000" w:rsidP="00000000" w:rsidRDefault="00000000" w:rsidRPr="00000000" w14:paraId="000000D6">
      <w:pPr>
        <w:spacing w:line="276" w:lineRule="auto"/>
        <w:jc w:val="both"/>
        <w:rPr>
          <w:rFonts w:ascii="Arial" w:cs="Arial" w:eastAsia="Arial" w:hAnsi="Arial"/>
          <w:color w:val="1f1f1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i w:val="0"/>
          <w:iCs w:val="0"/>
          <w:color w:val="1f1f1f"/>
          <w:sz w:val="34"/>
          <w:szCs w:val="34"/>
        </w:rPr>
      </w:pPr>
      <w:bookmarkStart w:colFirst="0" w:colLast="0" w:name="_heading=h.qcphultc06d3" w:id="4"/>
      <w:bookmarkEnd w:id="4"/>
      <w:r w:rsidDel="00000000" w:rsidR="00000000" w:rsidRPr="00000000">
        <w:rPr>
          <w:i w:val="0"/>
          <w:iCs w:val="0"/>
          <w:color w:val="1f1f1f"/>
          <w:sz w:val="34"/>
          <w:szCs w:val="34"/>
          <w:rtl w:val="0"/>
        </w:rPr>
        <w:t xml:space="preserve">I. Introduction</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Modern software engineering is increasingly distributed and asynchronous. However, team formation remains largely subjective or reliant on self-reported surveys, which are prone to social desirability bias. This section defines the "Coordination Cost" problem and introduces GitSyntropy as an objective signal-processing solution.</w:t>
      </w:r>
    </w:p>
    <w:p w:rsidR="00000000" w:rsidDel="00000000" w:rsidP="00000000" w:rsidRDefault="00000000" w:rsidRPr="00000000" w14:paraId="000000D9">
      <w:pPr>
        <w:pStyle w:val="Heading2"/>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i w:val="0"/>
          <w:iCs w:val="0"/>
          <w:color w:val="1f1f1f"/>
          <w:sz w:val="34"/>
          <w:szCs w:val="34"/>
        </w:rPr>
      </w:pPr>
      <w:bookmarkStart w:colFirst="0" w:colLast="0" w:name="_heading=h.ujyyryqj65dm" w:id="5"/>
      <w:bookmarkEnd w:id="5"/>
      <w:r w:rsidDel="00000000" w:rsidR="00000000" w:rsidRPr="00000000">
        <w:rPr>
          <w:i w:val="0"/>
          <w:iCs w:val="0"/>
          <w:color w:val="1f1f1f"/>
          <w:sz w:val="34"/>
          <w:szCs w:val="34"/>
          <w:rtl w:val="0"/>
        </w:rPr>
        <w:t xml:space="preserve">II. Related Work</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Review current literature in Mining Software Repositories (MSR). Contrast linear chronotype detection (Claes et al., 2018) with the proposed circular methodology. Discuss existing team formation algorithms and their lack of high-fidelity behavioral integration.</w:t>
      </w:r>
    </w:p>
    <w:p w:rsidR="00000000" w:rsidDel="00000000" w:rsidP="00000000" w:rsidRDefault="00000000" w:rsidRPr="00000000" w14:paraId="000000DB">
      <w:pPr>
        <w:pStyle w:val="Heading2"/>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i w:val="0"/>
          <w:iCs w:val="0"/>
          <w:color w:val="1f1f1f"/>
          <w:sz w:val="34"/>
          <w:szCs w:val="34"/>
        </w:rPr>
      </w:pPr>
      <w:bookmarkStart w:colFirst="0" w:colLast="0" w:name="_heading=h.8tyuunr79g7x" w:id="6"/>
      <w:bookmarkEnd w:id="6"/>
      <w:r w:rsidDel="00000000" w:rsidR="00000000" w:rsidRPr="00000000">
        <w:rPr>
          <w:i w:val="0"/>
          <w:iCs w:val="0"/>
          <w:color w:val="1f1f1f"/>
          <w:sz w:val="34"/>
          <w:szCs w:val="34"/>
          <w:rtl w:val="0"/>
        </w:rPr>
        <w:t xml:space="preserve">III. Methodology</w:t>
      </w:r>
    </w:p>
    <w:p w:rsidR="00000000" w:rsidDel="00000000" w:rsidP="00000000" w:rsidRDefault="00000000" w:rsidRPr="00000000" w14:paraId="000000DC">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jc w:val="both"/>
        <w:rPr>
          <w:color w:val="1f1f1f"/>
        </w:rPr>
      </w:pPr>
      <w:bookmarkStart w:colFirst="0" w:colLast="0" w:name="_heading=h.j8vcslgvkz3d" w:id="7"/>
      <w:bookmarkEnd w:id="7"/>
      <w:r w:rsidDel="00000000" w:rsidR="00000000" w:rsidRPr="00000000">
        <w:rPr>
          <w:color w:val="1f1f1f"/>
          <w:rtl w:val="0"/>
        </w:rPr>
        <w:t xml:space="preserve">A. Circular Chronotype Detection</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To resolve the "midnight boundary" fragmentation, we map commit timestamps $h \in [0, 24)$ to a unit circle:</w:t>
      </w:r>
    </w:p>
    <w:p w:rsidR="00000000" w:rsidDel="00000000" w:rsidP="00000000" w:rsidRDefault="00000000" w:rsidRPr="00000000" w14:paraId="000000DE">
      <w:pPr>
        <w:spacing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$$(x,y) = (\cos(2\pi h/24), \sin(2\pi h/24))$$</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This preserves chronological proximity where $23:59 \approx 00:01$.</w:t>
      </w:r>
    </w:p>
    <w:p w:rsidR="00000000" w:rsidDel="00000000" w:rsidP="00000000" w:rsidRDefault="00000000" w:rsidRPr="00000000" w14:paraId="000000E0">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jc w:val="both"/>
        <w:rPr>
          <w:color w:val="1f1f1f"/>
        </w:rPr>
      </w:pPr>
      <w:bookmarkStart w:colFirst="0" w:colLast="0" w:name="_heading=h.d34k90803ffl" w:id="8"/>
      <w:bookmarkEnd w:id="8"/>
      <w:r w:rsidDel="00000000" w:rsidR="00000000" w:rsidRPr="00000000">
        <w:rPr>
          <w:color w:val="1f1f1f"/>
          <w:rtl w:val="0"/>
        </w:rPr>
        <w:t xml:space="preserve">B. Adaptive Psychometric Profiling</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We employ a Computerized Adaptive Testing (CAT) suite. The early-stop criterion is defined as:</w:t>
      </w:r>
    </w:p>
    <w:p w:rsidR="00000000" w:rsidDel="00000000" w:rsidP="00000000" w:rsidRDefault="00000000" w:rsidRPr="00000000" w14:paraId="000000E2">
      <w:pPr>
        <w:spacing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$$\text{Questions} \ge 4 \land \text{Weight Covered} \ge 70\%$$</w:t>
      </w:r>
    </w:p>
    <w:p w:rsidR="00000000" w:rsidDel="00000000" w:rsidP="00000000" w:rsidRDefault="00000000" w:rsidRPr="00000000" w14:paraId="000000E3">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jc w:val="both"/>
        <w:rPr>
          <w:color w:val="1f1f1f"/>
        </w:rPr>
      </w:pPr>
      <w:bookmarkStart w:colFirst="0" w:colLast="0" w:name="_heading=h.7zm8z2ese42y" w:id="9"/>
      <w:bookmarkEnd w:id="9"/>
      <w:r w:rsidDel="00000000" w:rsidR="00000000" w:rsidRPr="00000000">
        <w:rPr>
          <w:color w:val="1f1f1f"/>
          <w:rtl w:val="0"/>
        </w:rPr>
        <w:t xml:space="preserve">C. The Compatibility Engine</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The engine utilizes an 8-dimension weighting sequence $w \in \{1, 2, \dots, 8\}$. Weights are assigned based on the operational latency cost of misalignment:</w:t>
      </w:r>
    </w:p>
    <w:p w:rsidR="00000000" w:rsidDel="00000000" w:rsidP="00000000" w:rsidRDefault="00000000" w:rsidRPr="00000000" w14:paraId="000000E5">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color w:val="1f1f1f"/>
          <w:sz w:val="16"/>
          <w:szCs w:val="16"/>
          <w:rtl w:val="0"/>
        </w:rPr>
        <w:t xml:space="preserve">Innovation Drive ($w=1$)</w:t>
        <w:br w:type="textWrapping"/>
        <w:t xml:space="preserve">...</w:t>
      </w:r>
    </w:p>
    <w:p w:rsidR="00000000" w:rsidDel="00000000" w:rsidP="00000000" w:rsidRDefault="00000000" w:rsidRPr="00000000" w14:paraId="000000E6">
      <w:pPr>
        <w:numPr>
          <w:ilvl w:val="0"/>
          <w:numId w:val="12"/>
        </w:numPr>
        <w:pBdr>
          <w:top w:color="auto" w:space="0" w:sz="0" w:val="none"/>
          <w:bottom w:color="auto" w:space="0" w:sz="0" w:val="none"/>
          <w:right w:color="auto" w:space="0" w:sz="0" w:val="none"/>
          <w:between w:color="auto" w:space="0" w:sz="0" w:val="none"/>
        </w:pBdr>
        <w:spacing w:after="360" w:line="276" w:lineRule="auto"/>
        <w:ind w:left="720" w:hanging="360"/>
        <w:rPr>
          <w:sz w:val="16"/>
          <w:szCs w:val="16"/>
        </w:rPr>
      </w:pPr>
      <w:r w:rsidDel="00000000" w:rsidR="00000000" w:rsidRPr="00000000">
        <w:rPr>
          <w:rFonts w:ascii="Arial" w:cs="Arial" w:eastAsia="Arial" w:hAnsi="Arial"/>
          <w:color w:val="1f1f1f"/>
          <w:sz w:val="16"/>
          <w:szCs w:val="16"/>
          <w:rtl w:val="0"/>
        </w:rPr>
        <w:t xml:space="preserve">Chronotype Sync ($w=8$)</w:t>
      </w:r>
    </w:p>
    <w:p w:rsidR="00000000" w:rsidDel="00000000" w:rsidP="00000000" w:rsidRDefault="00000000" w:rsidRPr="00000000" w14:paraId="000000E7">
      <w:pPr>
        <w:pStyle w:val="Heading2"/>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i w:val="0"/>
          <w:iCs w:val="0"/>
          <w:color w:val="1f1f1f"/>
          <w:sz w:val="34"/>
          <w:szCs w:val="34"/>
        </w:rPr>
      </w:pPr>
      <w:bookmarkStart w:colFirst="0" w:colLast="0" w:name="_heading=h.7dwbbaoa9878" w:id="10"/>
      <w:bookmarkEnd w:id="10"/>
      <w:r w:rsidDel="00000000" w:rsidR="00000000" w:rsidRPr="00000000">
        <w:rPr>
          <w:i w:val="0"/>
          <w:iCs w:val="0"/>
          <w:color w:val="1f1f1f"/>
          <w:sz w:val="34"/>
          <w:szCs w:val="34"/>
          <w:rtl w:val="0"/>
        </w:rPr>
        <w:t xml:space="preserve">IV. Experimental Results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Present the comparative analysis between linear and circular clustering. Showcase the 1,000-iteration Monte Carlo simulation results, demonstrating the "Optimal Candidate Complement" variance.</w:t>
      </w:r>
    </w:p>
    <w:p w:rsidR="00000000" w:rsidDel="00000000" w:rsidP="00000000" w:rsidRDefault="00000000" w:rsidRPr="00000000" w14:paraId="000000E9">
      <w:pPr>
        <w:pStyle w:val="Heading2"/>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i w:val="0"/>
          <w:iCs w:val="0"/>
          <w:color w:val="1f1f1f"/>
          <w:sz w:val="34"/>
          <w:szCs w:val="34"/>
        </w:rPr>
      </w:pPr>
      <w:bookmarkStart w:colFirst="0" w:colLast="0" w:name="_heading=h.eu702wbu8q6a" w:id="11"/>
      <w:bookmarkEnd w:id="11"/>
      <w:r w:rsidDel="00000000" w:rsidR="00000000" w:rsidRPr="00000000">
        <w:rPr>
          <w:i w:val="0"/>
          <w:iCs w:val="0"/>
          <w:color w:val="1f1f1f"/>
          <w:sz w:val="34"/>
          <w:szCs w:val="34"/>
          <w:rtl w:val="0"/>
        </w:rPr>
        <w:t xml:space="preserve">V. Discussion: MCDM Justification</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Justify the 1-8 weighting through the lens of Ordinal Importance. Explain why foundational synchronization (Chronotype) must be prioritized over stylistic preference (Innovation Drive) to maintain team velocity.</w:t>
      </w:r>
    </w:p>
    <w:p w:rsidR="00000000" w:rsidDel="00000000" w:rsidP="00000000" w:rsidRDefault="00000000" w:rsidRPr="00000000" w14:paraId="000000EB">
      <w:pPr>
        <w:pStyle w:val="Heading2"/>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i w:val="0"/>
          <w:iCs w:val="0"/>
          <w:color w:val="1f1f1f"/>
          <w:sz w:val="34"/>
          <w:szCs w:val="34"/>
        </w:rPr>
      </w:pPr>
      <w:bookmarkStart w:colFirst="0" w:colLast="0" w:name="_heading=h.t6lsx84oxfhf" w:id="12"/>
      <w:bookmarkEnd w:id="12"/>
      <w:r w:rsidDel="00000000" w:rsidR="00000000" w:rsidRPr="00000000">
        <w:rPr>
          <w:i w:val="0"/>
          <w:iCs w:val="0"/>
          <w:color w:val="1f1f1f"/>
          <w:sz w:val="34"/>
          <w:szCs w:val="34"/>
          <w:rtl w:val="0"/>
        </w:rPr>
        <w:t xml:space="preserve">VI. Privacy and Ethical Considerations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Address the "Digital Panopticon" concern. Outline the privacy-preserving roadmap, including Local Feature Extraction and Differential Privacy ($\epsilon$-DP) injection to protect developer anonymity.</w:t>
      </w:r>
    </w:p>
    <w:p w:rsidR="00000000" w:rsidDel="00000000" w:rsidP="00000000" w:rsidRDefault="00000000" w:rsidRPr="00000000" w14:paraId="000000ED">
      <w:pPr>
        <w:pStyle w:val="Heading2"/>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i w:val="0"/>
          <w:iCs w:val="0"/>
          <w:color w:val="1f1f1f"/>
          <w:sz w:val="34"/>
          <w:szCs w:val="34"/>
        </w:rPr>
      </w:pPr>
      <w:bookmarkStart w:colFirst="0" w:colLast="0" w:name="_heading=h.su5rk2638rn4" w:id="13"/>
      <w:bookmarkEnd w:id="13"/>
      <w:r w:rsidDel="00000000" w:rsidR="00000000" w:rsidRPr="00000000">
        <w:rPr>
          <w:i w:val="0"/>
          <w:iCs w:val="0"/>
          <w:color w:val="1f1f1f"/>
          <w:sz w:val="34"/>
          <w:szCs w:val="34"/>
          <w:rtl w:val="0"/>
        </w:rPr>
        <w:t xml:space="preserve">VII. Conclusion</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Summarize the findings. Propose future work involving the integration of real-time IDE telemetry for even higher-fidelity compatibility scoring.</w:t>
      </w:r>
    </w:p>
    <w:p w:rsidR="00000000" w:rsidDel="00000000" w:rsidP="00000000" w:rsidRDefault="00000000" w:rsidRPr="00000000" w14:paraId="000000EF">
      <w:pPr>
        <w:pStyle w:val="Heading2"/>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i w:val="0"/>
          <w:iCs w:val="0"/>
          <w:color w:val="1f1f1f"/>
          <w:sz w:val="34"/>
          <w:szCs w:val="34"/>
        </w:rPr>
      </w:pPr>
      <w:bookmarkStart w:colFirst="0" w:colLast="0" w:name="_heading=h.wla545p6qzfq" w:id="14"/>
      <w:bookmarkEnd w:id="14"/>
      <w:r w:rsidDel="00000000" w:rsidR="00000000" w:rsidRPr="00000000">
        <w:rPr>
          <w:i w:val="0"/>
          <w:iCs w:val="0"/>
          <w:color w:val="1f1f1f"/>
          <w:sz w:val="34"/>
          <w:szCs w:val="34"/>
          <w:rtl w:val="0"/>
        </w:rPr>
        <w:t xml:space="preserve">References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[1] Claes, M., et al. (2018). "Developer Chronotypes in MSR."</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[2] van der Linden, W. J. (2000). "Computerized Adaptive Testing."</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[3] ... (Additional citations for MSR and Psychometrics).</w:t>
      </w:r>
    </w:p>
    <w:p w:rsidR="00000000" w:rsidDel="00000000" w:rsidP="00000000" w:rsidRDefault="00000000" w:rsidRPr="00000000" w14:paraId="000000F3">
      <w:pPr>
        <w:spacing w:line="276" w:lineRule="auto"/>
        <w:jc w:val="both"/>
        <w:rPr>
          <w:rFonts w:ascii="Arial" w:cs="Arial" w:eastAsia="Arial" w:hAnsi="Arial"/>
          <w:color w:val="1f1f1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ind w:left="0"/>
        <w:jc w:val="both"/>
        <w:rPr>
          <w:color w:val="1f1f1f"/>
        </w:rPr>
      </w:pPr>
      <w:bookmarkStart w:colFirst="0" w:colLast="0" w:name="_heading=h.pttfvfxfxtuu" w:id="15"/>
      <w:bookmarkEnd w:id="15"/>
      <w:r w:rsidDel="00000000" w:rsidR="00000000" w:rsidRPr="00000000">
        <w:rPr>
          <w:color w:val="1f1f1f"/>
          <w:rtl w:val="0"/>
        </w:rPr>
        <w:t xml:space="preserve">Pro-Tips for the Draft:</w:t>
      </w:r>
    </w:p>
    <w:p w:rsidR="00000000" w:rsidDel="00000000" w:rsidP="00000000" w:rsidRDefault="00000000" w:rsidRPr="00000000" w14:paraId="000000F5">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Column Balance:</w:t>
      </w:r>
      <w:r w:rsidDel="00000000" w:rsidR="00000000" w:rsidRPr="00000000">
        <w:rPr>
          <w:rFonts w:ascii="Arial" w:cs="Arial" w:eastAsia="Arial" w:hAnsi="Arial"/>
          <w:color w:val="1f1f1f"/>
          <w:sz w:val="16"/>
          <w:szCs w:val="16"/>
          <w:rtl w:val="0"/>
        </w:rPr>
        <w:t xml:space="preserve"> If the text on the second page is uneven, go to </w:t>
      </w:r>
      <w:r w:rsidDel="00000000" w:rsidR="00000000" w:rsidRPr="00000000">
        <w:rPr>
          <w:rFonts w:ascii="Arial" w:cs="Arial" w:eastAsia="Arial" w:hAnsi="Arial"/>
          <w:b w:val="1"/>
          <w:bCs w:val="1"/>
          <w:color w:val="1f1f1f"/>
          <w:sz w:val="16"/>
          <w:szCs w:val="16"/>
          <w:rtl w:val="0"/>
        </w:rPr>
        <w:t xml:space="preserve">Insert &gt; Break &gt; Column Break</w:t>
      </w:r>
      <w:r w:rsidDel="00000000" w:rsidR="00000000" w:rsidRPr="00000000">
        <w:rPr>
          <w:rFonts w:ascii="Arial" w:cs="Arial" w:eastAsia="Arial" w:hAnsi="Arial"/>
          <w:color w:val="1f1f1f"/>
          <w:sz w:val="16"/>
          <w:szCs w:val="16"/>
          <w:rtl w:val="0"/>
        </w:rPr>
        <w:t xml:space="preserve"> to force a balance.</w:t>
      </w:r>
    </w:p>
    <w:p w:rsidR="00000000" w:rsidDel="00000000" w:rsidP="00000000" w:rsidRDefault="00000000" w:rsidRPr="00000000" w14:paraId="000000F6">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Equations:</w:t>
      </w:r>
      <w:r w:rsidDel="00000000" w:rsidR="00000000" w:rsidRPr="00000000">
        <w:rPr>
          <w:rFonts w:ascii="Arial" w:cs="Arial" w:eastAsia="Arial" w:hAnsi="Arial"/>
          <w:color w:val="1f1f1f"/>
          <w:sz w:val="16"/>
          <w:szCs w:val="16"/>
          <w:rtl w:val="0"/>
        </w:rPr>
        <w:t xml:space="preserve"> Use the built-in Equation Editor (</w:t>
      </w:r>
      <w:r w:rsidDel="00000000" w:rsidR="00000000" w:rsidRPr="00000000">
        <w:rPr>
          <w:rFonts w:ascii="Arial" w:cs="Arial" w:eastAsia="Arial" w:hAnsi="Arial"/>
          <w:b w:val="1"/>
          <w:bCs w:val="1"/>
          <w:color w:val="1f1f1f"/>
          <w:sz w:val="16"/>
          <w:szCs w:val="16"/>
          <w:rtl w:val="0"/>
        </w:rPr>
        <w:t xml:space="preserve">Insert &gt; Equation</w:t>
      </w:r>
      <w:r w:rsidDel="00000000" w:rsidR="00000000" w:rsidRPr="00000000">
        <w:rPr>
          <w:rFonts w:ascii="Arial" w:cs="Arial" w:eastAsia="Arial" w:hAnsi="Arial"/>
          <w:color w:val="1f1f1f"/>
          <w:sz w:val="16"/>
          <w:szCs w:val="16"/>
          <w:rtl w:val="0"/>
        </w:rPr>
        <w:t xml:space="preserve">) for the K-Means and Similarity formulas to ensure they look professional.</w:t>
      </w:r>
    </w:p>
    <w:p w:rsidR="00000000" w:rsidDel="00000000" w:rsidP="00000000" w:rsidRDefault="00000000" w:rsidRPr="00000000" w14:paraId="000000F7">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rPr>
          <w:sz w:val="16"/>
          <w:szCs w:val="16"/>
        </w:rPr>
      </w:pPr>
      <w:r w:rsidDel="00000000" w:rsidR="00000000" w:rsidRPr="00000000">
        <w:rPr>
          <w:rFonts w:ascii="Arial" w:cs="Arial" w:eastAsia="Arial" w:hAnsi="Arial"/>
          <w:b w:val="1"/>
          <w:bCs w:val="1"/>
          <w:color w:val="1f1f1f"/>
          <w:sz w:val="16"/>
          <w:szCs w:val="16"/>
          <w:rtl w:val="0"/>
        </w:rPr>
        <w:t xml:space="preserve">Track Alignment:</w:t>
      </w:r>
      <w:r w:rsidDel="00000000" w:rsidR="00000000" w:rsidRPr="00000000">
        <w:rPr>
          <w:rFonts w:ascii="Arial" w:cs="Arial" w:eastAsia="Arial" w:hAnsi="Arial"/>
          <w:color w:val="1f1f1f"/>
          <w:sz w:val="16"/>
          <w:szCs w:val="16"/>
          <w:rtl w:val="0"/>
        </w:rPr>
        <w:t xml:space="preserve"> Ensure the "Keywords" section includes terms from </w:t>
      </w:r>
      <w:r w:rsidDel="00000000" w:rsidR="00000000" w:rsidRPr="00000000">
        <w:rPr>
          <w:rFonts w:ascii="Arial" w:cs="Arial" w:eastAsia="Arial" w:hAnsi="Arial"/>
          <w:b w:val="1"/>
          <w:bCs w:val="1"/>
          <w:color w:val="1f1f1f"/>
          <w:sz w:val="16"/>
          <w:szCs w:val="16"/>
          <w:rtl w:val="0"/>
        </w:rPr>
        <w:t xml:space="preserve">Track 2: SKILLS for Engineering Applications</w:t>
      </w:r>
      <w:r w:rsidDel="00000000" w:rsidR="00000000" w:rsidRPr="00000000">
        <w:rPr>
          <w:rFonts w:ascii="Arial" w:cs="Arial" w:eastAsia="Arial" w:hAnsi="Arial"/>
          <w:color w:val="1f1f1f"/>
          <w:sz w:val="16"/>
          <w:szCs w:val="16"/>
          <w:rtl w:val="0"/>
        </w:rPr>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16"/>
          <w:szCs w:val="16"/>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
      <w:lvlJc w:val="left"/>
      <w:pPr>
        <w:ind w:left="0" w:firstLine="0"/>
      </w:pPr>
      <w:rPr/>
    </w:lvl>
    <w:lvl w:ilvl="1">
      <w:start w:val="1"/>
      <w:numFmt w:val="decimal"/>
      <w:lvlText w:val="%1.%2)"/>
      <w:lvlJc w:val="left"/>
      <w:pPr>
        <w:ind w:left="936" w:hanging="720"/>
      </w:pPr>
      <w:rPr/>
    </w:lvl>
    <w:lvl w:ilvl="2">
      <w:start w:val="1"/>
      <w:numFmt w:val="decimal"/>
      <w:lvlText w:val="%1.%2)%3."/>
      <w:lvlJc w:val="left"/>
      <w:pPr>
        <w:ind w:left="936" w:hanging="72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6">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504" w:hanging="216"/>
      </w:pPr>
      <w:rPr>
        <w:rFonts w:ascii="Noto Sans Symbols" w:cs="Noto Sans Symbols" w:eastAsia="Noto Sans Symbols" w:hAnsi="Noto Sans Symbols"/>
        <w:sz w:val="16"/>
        <w:szCs w:val="16"/>
      </w:rPr>
    </w:lvl>
    <w:lvl w:ilvl="1">
      <w:start w:val="1"/>
      <w:numFmt w:val="bullet"/>
      <w:lvlText w:val="●"/>
      <w:lvlJc w:val="left"/>
      <w:pPr>
        <w:ind w:left="288" w:hanging="288"/>
      </w:pPr>
      <w:rPr>
        <w:rFonts w:ascii="Noto Sans Symbols" w:cs="Noto Sans Symbols" w:eastAsia="Noto Sans Symbols" w:hAnsi="Noto Sans Symbols"/>
        <w:sz w:val="16"/>
        <w:szCs w:val="1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decimal"/>
      <w:lvlText w:val="[%1]"/>
      <w:lvlJc w:val="left"/>
      <w:pPr>
        <w:ind w:left="432" w:hanging="432"/>
      </w:pPr>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TMdArUrnFwXT6uiyuyjuKqOIw==">CgMxLjAyDmguajlyYXFuZnR5NmprMg5oLjJmeTB3bWllcmNidzIOaC5sNTR1MXhydXR4eDkyDmgubWFrbThjeGN0cW54Mg5oLnFjcGh1bHRjMDZkMzIOaC51anl5cnlxajY1ZG0yDmguOHR5dXVucjc5Zzd4Mg5oLmo4dmNzbGd2a3ozZDIOaC5kMzRrOTA4MDNmZmwyDmguN3ptOHoyZXNlNDJ5Mg5oLjdkd2JiYW9hOTg3ODIOaC5ldTcwMndidThxNmEyDmgudDZsc3g4NG94ZmhmMg5oLnN1NXJrMjYzOHJuNDIOaC53bGE1NDVwNnF6ZnEyDmgucHR0ZnZmeGZ4dHV1OAByITFNQ2wxc1FMTUduWFJRQ082dTFfUWNyM3o2VUFJQ0pH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