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678AA" w14:textId="77777777" w:rsidR="00D648B8" w:rsidRPr="00DC46EA" w:rsidRDefault="00D648B8" w:rsidP="00D648B8">
      <w:pPr>
        <w:bidi/>
        <w:spacing w:beforeLines="100" w:before="240" w:line="24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bookmarkStart w:id="0" w:name="_Hlk104716187"/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به منظور تحلیل ریسک، از متدولوژی رتبه بندی ریسک </w:t>
      </w:r>
      <w:r w:rsidRPr="00DC46EA">
        <w:rPr>
          <w:rFonts w:ascii="Times New Roman" w:hAnsi="Times New Roman" w:cs="B Nazanin"/>
          <w:sz w:val="24"/>
          <w:szCs w:val="28"/>
          <w:lang w:bidi="fa-IR"/>
        </w:rPr>
        <w:t>OWASP</w:t>
      </w: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استفاده شده است.</w:t>
      </w:r>
    </w:p>
    <w:p w14:paraId="667FBE0A" w14:textId="5DBB050C" w:rsidR="00D648B8" w:rsidRPr="00DC46EA" w:rsidRDefault="00D648B8" w:rsidP="00D648B8">
      <w:pPr>
        <w:bidi/>
        <w:spacing w:beforeLines="100" w:before="240" w:line="24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>جدول زیر، واژگان مرتبط با رتبه ریسک را مختصرا نشان می‌دهد.</w:t>
      </w:r>
    </w:p>
    <w:tbl>
      <w:tblPr>
        <w:tblStyle w:val="TableGrid"/>
        <w:bidiVisual/>
        <w:tblW w:w="9209" w:type="dxa"/>
        <w:tblInd w:w="-146" w:type="dxa"/>
        <w:tblLook w:val="04A0" w:firstRow="1" w:lastRow="0" w:firstColumn="1" w:lastColumn="0" w:noHBand="0" w:noVBand="1"/>
      </w:tblPr>
      <w:tblGrid>
        <w:gridCol w:w="990"/>
        <w:gridCol w:w="1508"/>
        <w:gridCol w:w="1950"/>
        <w:gridCol w:w="2230"/>
        <w:gridCol w:w="1019"/>
        <w:gridCol w:w="1512"/>
      </w:tblGrid>
      <w:tr w:rsidR="00D648B8" w:rsidRPr="00DC46EA" w14:paraId="446806B6" w14:textId="77777777" w:rsidTr="00DC46EA">
        <w:trPr>
          <w:trHeight w:val="548"/>
        </w:trPr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4DAA6CE2" w14:textId="77777777" w:rsidR="00D648B8" w:rsidRPr="00DC46EA" w:rsidRDefault="00D648B8" w:rsidP="006A2F94">
            <w:pPr>
              <w:bidi/>
              <w:ind w:left="35"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46EA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عوامل تهدید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E1FFF7B" w14:textId="77777777" w:rsidR="00D648B8" w:rsidRPr="00DC46EA" w:rsidRDefault="00D648B8" w:rsidP="006A2F9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46EA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قابلیت بهره برداری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C98E24E" w14:textId="77777777" w:rsidR="00D648B8" w:rsidRPr="00DC46EA" w:rsidRDefault="00D648B8" w:rsidP="006A2F9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46EA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میزان شیوع آسیب‌پذیری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02EB543" w14:textId="77777777" w:rsidR="00D648B8" w:rsidRPr="00DC46EA" w:rsidRDefault="00D648B8" w:rsidP="006A2F94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DC46EA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قابلیت شناسایی آسیب‌پذیری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AEC8689" w14:textId="77777777" w:rsidR="00D648B8" w:rsidRPr="00DC46EA" w:rsidRDefault="00D648B8" w:rsidP="006A2F94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DC46EA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پیامد فنی</w:t>
            </w:r>
          </w:p>
        </w:tc>
        <w:tc>
          <w:tcPr>
            <w:tcW w:w="1512" w:type="dxa"/>
            <w:shd w:val="clear" w:color="auto" w:fill="F2F2F2" w:themeFill="background1" w:themeFillShade="F2"/>
            <w:vAlign w:val="center"/>
          </w:tcPr>
          <w:p w14:paraId="1EF1FC48" w14:textId="77777777" w:rsidR="00D648B8" w:rsidRPr="00DC46EA" w:rsidRDefault="00D648B8" w:rsidP="006A2F9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46EA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تاثیر بر کسب و کار</w:t>
            </w:r>
          </w:p>
        </w:tc>
      </w:tr>
      <w:tr w:rsidR="00D648B8" w:rsidRPr="00DC46EA" w14:paraId="650E9DB1" w14:textId="77777777" w:rsidTr="00DC46EA">
        <w:tc>
          <w:tcPr>
            <w:tcW w:w="990" w:type="dxa"/>
            <w:vMerge w:val="restart"/>
            <w:vAlign w:val="center"/>
          </w:tcPr>
          <w:p w14:paraId="65D64291" w14:textId="77777777" w:rsidR="00D648B8" w:rsidRPr="00DC46EA" w:rsidRDefault="00D648B8" w:rsidP="006A2F9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46EA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خاص </w:t>
            </w:r>
            <w:r w:rsidRPr="00DC46E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API</w:t>
            </w:r>
          </w:p>
        </w:tc>
        <w:tc>
          <w:tcPr>
            <w:tcW w:w="0" w:type="auto"/>
            <w:shd w:val="clear" w:color="auto" w:fill="ED7D31" w:themeFill="accent2"/>
            <w:vAlign w:val="center"/>
          </w:tcPr>
          <w:p w14:paraId="67C49555" w14:textId="77777777" w:rsidR="00D648B8" w:rsidRPr="00DC46EA" w:rsidRDefault="00D648B8" w:rsidP="006A2F94">
            <w:pPr>
              <w:bidi/>
              <w:jc w:val="center"/>
              <w:rPr>
                <w:rFonts w:cs="B Nazanin"/>
                <w:b/>
                <w:bCs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DC46EA">
              <w:rPr>
                <w:rFonts w:cs="B Nazanin" w:hint="cs"/>
                <w:b/>
                <w:bCs/>
                <w:color w:val="FFFFFF" w:themeColor="background1"/>
                <w:sz w:val="24"/>
                <w:szCs w:val="24"/>
                <w:rtl/>
                <w:lang w:bidi="fa-IR"/>
              </w:rPr>
              <w:t>آسان: 3</w:t>
            </w:r>
          </w:p>
        </w:tc>
        <w:tc>
          <w:tcPr>
            <w:tcW w:w="0" w:type="auto"/>
            <w:shd w:val="clear" w:color="auto" w:fill="ED7D31" w:themeFill="accent2"/>
            <w:vAlign w:val="center"/>
          </w:tcPr>
          <w:p w14:paraId="7BA1C3DA" w14:textId="77777777" w:rsidR="00D648B8" w:rsidRPr="00DC46EA" w:rsidRDefault="00D648B8" w:rsidP="006A2F94">
            <w:pPr>
              <w:bidi/>
              <w:jc w:val="center"/>
              <w:rPr>
                <w:rFonts w:cs="B Nazanin"/>
                <w:b/>
                <w:bCs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DC46EA">
              <w:rPr>
                <w:rFonts w:cs="B Nazanin" w:hint="cs"/>
                <w:b/>
                <w:bCs/>
                <w:color w:val="FFFFFF" w:themeColor="background1"/>
                <w:sz w:val="24"/>
                <w:szCs w:val="24"/>
                <w:rtl/>
                <w:lang w:bidi="fa-IR"/>
              </w:rPr>
              <w:t>گسترده: 3</w:t>
            </w:r>
          </w:p>
        </w:tc>
        <w:tc>
          <w:tcPr>
            <w:tcW w:w="0" w:type="auto"/>
            <w:shd w:val="clear" w:color="auto" w:fill="ED7D31" w:themeFill="accent2"/>
            <w:vAlign w:val="center"/>
          </w:tcPr>
          <w:p w14:paraId="07E38A92" w14:textId="77777777" w:rsidR="00D648B8" w:rsidRPr="00DC46EA" w:rsidRDefault="00D648B8" w:rsidP="006A2F94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DC46EA">
              <w:rPr>
                <w:rFonts w:cs="B Nazanin" w:hint="cs"/>
                <w:b/>
                <w:bCs/>
                <w:color w:val="FFFFFF" w:themeColor="background1"/>
                <w:sz w:val="24"/>
                <w:szCs w:val="24"/>
                <w:rtl/>
                <w:lang w:bidi="fa-IR"/>
              </w:rPr>
              <w:t>آسان: 3</w:t>
            </w:r>
          </w:p>
        </w:tc>
        <w:tc>
          <w:tcPr>
            <w:tcW w:w="0" w:type="auto"/>
            <w:shd w:val="clear" w:color="auto" w:fill="ED7D31" w:themeFill="accent2"/>
            <w:vAlign w:val="center"/>
          </w:tcPr>
          <w:p w14:paraId="3F47A6A1" w14:textId="77777777" w:rsidR="00D648B8" w:rsidRPr="00DC46EA" w:rsidRDefault="00D648B8" w:rsidP="006A2F94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DC46EA">
              <w:rPr>
                <w:rFonts w:cs="B Nazanin" w:hint="cs"/>
                <w:b/>
                <w:bCs/>
                <w:color w:val="FFFFFF" w:themeColor="background1"/>
                <w:sz w:val="24"/>
                <w:szCs w:val="24"/>
                <w:rtl/>
                <w:lang w:bidi="fa-IR"/>
              </w:rPr>
              <w:t>شدید: 3</w:t>
            </w:r>
          </w:p>
        </w:tc>
        <w:tc>
          <w:tcPr>
            <w:tcW w:w="1512" w:type="dxa"/>
            <w:vMerge w:val="restart"/>
            <w:vAlign w:val="center"/>
          </w:tcPr>
          <w:p w14:paraId="3AD0530B" w14:textId="77777777" w:rsidR="00D648B8" w:rsidRPr="00DC46EA" w:rsidRDefault="00D648B8" w:rsidP="006A2F9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DC46EA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خاص کسب و کار</w:t>
            </w:r>
          </w:p>
        </w:tc>
      </w:tr>
      <w:tr w:rsidR="00D648B8" w:rsidRPr="00DC46EA" w14:paraId="1BC855B7" w14:textId="77777777" w:rsidTr="00DC46EA">
        <w:tc>
          <w:tcPr>
            <w:tcW w:w="990" w:type="dxa"/>
            <w:vMerge/>
          </w:tcPr>
          <w:p w14:paraId="7CC48130" w14:textId="77777777" w:rsidR="00D648B8" w:rsidRPr="00DC46EA" w:rsidRDefault="00D648B8" w:rsidP="006A2F94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0" w:type="auto"/>
            <w:shd w:val="clear" w:color="auto" w:fill="FFC000"/>
            <w:vAlign w:val="center"/>
          </w:tcPr>
          <w:p w14:paraId="199D123D" w14:textId="77777777" w:rsidR="00D648B8" w:rsidRPr="00DC46EA" w:rsidRDefault="00D648B8" w:rsidP="006A2F9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46E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متوسط: 2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39D1751E" w14:textId="77777777" w:rsidR="00D648B8" w:rsidRPr="00DC46EA" w:rsidRDefault="00D648B8" w:rsidP="006A2F9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46E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متداول: 2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3386DA43" w14:textId="77777777" w:rsidR="00D648B8" w:rsidRPr="00DC46EA" w:rsidRDefault="00D648B8" w:rsidP="006A2F94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DC46E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متوسط: 2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5770186D" w14:textId="77777777" w:rsidR="00D648B8" w:rsidRPr="00DC46EA" w:rsidRDefault="00D648B8" w:rsidP="006A2F94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DC46E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متوسط: 2</w:t>
            </w:r>
          </w:p>
        </w:tc>
        <w:tc>
          <w:tcPr>
            <w:tcW w:w="1512" w:type="dxa"/>
            <w:vMerge/>
          </w:tcPr>
          <w:p w14:paraId="0265F082" w14:textId="77777777" w:rsidR="00D648B8" w:rsidRPr="00DC46EA" w:rsidRDefault="00D648B8" w:rsidP="006A2F94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D648B8" w:rsidRPr="00DC46EA" w14:paraId="47E2ABAD" w14:textId="77777777" w:rsidTr="00DC46EA">
        <w:tc>
          <w:tcPr>
            <w:tcW w:w="990" w:type="dxa"/>
            <w:vMerge/>
          </w:tcPr>
          <w:p w14:paraId="6F8D0095" w14:textId="77777777" w:rsidR="00D648B8" w:rsidRPr="00DC46EA" w:rsidRDefault="00D648B8" w:rsidP="006A2F94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0F5C4054" w14:textId="77777777" w:rsidR="00D648B8" w:rsidRPr="00DC46EA" w:rsidRDefault="00D648B8" w:rsidP="006A2F9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46E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سخت: 1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611C9514" w14:textId="77777777" w:rsidR="00D648B8" w:rsidRPr="00DC46EA" w:rsidRDefault="00D648B8" w:rsidP="006A2F9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46E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سخت: 1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209013CF" w14:textId="77777777" w:rsidR="00D648B8" w:rsidRPr="00DC46EA" w:rsidRDefault="00D648B8" w:rsidP="006A2F94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DC46E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سخت: 1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5254A31F" w14:textId="77777777" w:rsidR="00D648B8" w:rsidRPr="00DC46EA" w:rsidRDefault="00D648B8" w:rsidP="006A2F94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DC46E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جزئی: 1</w:t>
            </w:r>
          </w:p>
        </w:tc>
        <w:tc>
          <w:tcPr>
            <w:tcW w:w="1512" w:type="dxa"/>
            <w:vMerge/>
          </w:tcPr>
          <w:p w14:paraId="1402BB93" w14:textId="77777777" w:rsidR="00D648B8" w:rsidRPr="00DC46EA" w:rsidRDefault="00D648B8" w:rsidP="006A2F94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14:paraId="5DE0EB4E" w14:textId="24104009" w:rsidR="00D648B8" w:rsidRPr="00DC46EA" w:rsidRDefault="00D648B8" w:rsidP="00D648B8">
      <w:pPr>
        <w:bidi/>
        <w:spacing w:beforeLines="100" w:before="240" w:line="276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DC46EA">
        <w:rPr>
          <w:rFonts w:ascii="Times New Roman" w:hAnsi="Times New Roman" w:cs="B Nazanin"/>
          <w:sz w:val="24"/>
          <w:szCs w:val="28"/>
          <w:rtl/>
          <w:lang w:bidi="fa-IR"/>
        </w:rPr>
        <w:t>در ا</w:t>
      </w: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DC46EA">
        <w:rPr>
          <w:rFonts w:ascii="Times New Roman" w:hAnsi="Times New Roman" w:cs="B Nazanin" w:hint="eastAsia"/>
          <w:sz w:val="24"/>
          <w:szCs w:val="28"/>
          <w:rtl/>
          <w:lang w:bidi="fa-IR"/>
        </w:rPr>
        <w:t>ن</w:t>
      </w:r>
      <w:r w:rsidRPr="00DC46EA">
        <w:rPr>
          <w:rFonts w:ascii="Times New Roman" w:hAnsi="Times New Roman" w:cs="B Nazanin"/>
          <w:sz w:val="24"/>
          <w:szCs w:val="28"/>
          <w:rtl/>
          <w:lang w:bidi="fa-IR"/>
        </w:rPr>
        <w:t xml:space="preserve"> رو</w:t>
      </w: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DC46EA">
        <w:rPr>
          <w:rFonts w:ascii="Times New Roman" w:hAnsi="Times New Roman" w:cs="B Nazanin" w:hint="eastAsia"/>
          <w:sz w:val="24"/>
          <w:szCs w:val="28"/>
          <w:rtl/>
          <w:lang w:bidi="fa-IR"/>
        </w:rPr>
        <w:t>کرد،</w:t>
      </w:r>
      <w:r w:rsidRPr="00DC46EA">
        <w:rPr>
          <w:rFonts w:ascii="Times New Roman" w:hAnsi="Times New Roman" w:cs="B Nazanin"/>
          <w:sz w:val="24"/>
          <w:szCs w:val="28"/>
          <w:rtl/>
          <w:lang w:bidi="fa-IR"/>
        </w:rPr>
        <w:t xml:space="preserve"> نوع فناور</w:t>
      </w: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DC46EA">
        <w:rPr>
          <w:rFonts w:ascii="Times New Roman" w:hAnsi="Times New Roman" w:cs="B Nazanin"/>
          <w:sz w:val="24"/>
          <w:szCs w:val="28"/>
          <w:rtl/>
          <w:lang w:bidi="fa-IR"/>
        </w:rPr>
        <w:t xml:space="preserve"> مورد استفاده و احتمال وقوع آس</w:t>
      </w: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DC46EA">
        <w:rPr>
          <w:rFonts w:ascii="Times New Roman" w:hAnsi="Times New Roman" w:cs="B Nazanin" w:hint="eastAsia"/>
          <w:sz w:val="24"/>
          <w:szCs w:val="28"/>
          <w:rtl/>
          <w:lang w:bidi="fa-IR"/>
        </w:rPr>
        <w:t>ب</w:t>
      </w: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>‌</w:t>
      </w:r>
      <w:r w:rsidRPr="00DC46EA">
        <w:rPr>
          <w:rFonts w:ascii="Times New Roman" w:hAnsi="Times New Roman" w:cs="B Nazanin"/>
          <w:sz w:val="24"/>
          <w:szCs w:val="28"/>
          <w:rtl/>
          <w:lang w:bidi="fa-IR"/>
        </w:rPr>
        <w:t>پذ</w:t>
      </w: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DC46EA">
        <w:rPr>
          <w:rFonts w:ascii="Times New Roman" w:hAnsi="Times New Roman" w:cs="B Nazanin" w:hint="eastAsia"/>
          <w:sz w:val="24"/>
          <w:szCs w:val="28"/>
          <w:rtl/>
          <w:lang w:bidi="fa-IR"/>
        </w:rPr>
        <w:t>ر</w:t>
      </w: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DC46EA">
        <w:rPr>
          <w:rFonts w:ascii="Times New Roman" w:hAnsi="Times New Roman" w:cs="B Nazanin"/>
          <w:sz w:val="24"/>
          <w:szCs w:val="28"/>
          <w:rtl/>
          <w:lang w:bidi="fa-IR"/>
        </w:rPr>
        <w:t xml:space="preserve"> در رتبه ر</w:t>
      </w: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DC46EA">
        <w:rPr>
          <w:rFonts w:ascii="Times New Roman" w:hAnsi="Times New Roman" w:cs="B Nazanin" w:hint="eastAsia"/>
          <w:sz w:val="24"/>
          <w:szCs w:val="28"/>
          <w:rtl/>
          <w:lang w:bidi="fa-IR"/>
        </w:rPr>
        <w:t>سک</w:t>
      </w:r>
      <w:r w:rsidRPr="00DC46EA">
        <w:rPr>
          <w:rFonts w:ascii="Times New Roman" w:hAnsi="Times New Roman" w:cs="B Nazanin"/>
          <w:sz w:val="24"/>
          <w:szCs w:val="28"/>
          <w:rtl/>
          <w:lang w:bidi="fa-IR"/>
        </w:rPr>
        <w:t xml:space="preserve"> تاث</w:t>
      </w: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DC46EA">
        <w:rPr>
          <w:rFonts w:ascii="Times New Roman" w:hAnsi="Times New Roman" w:cs="B Nazanin" w:hint="eastAsia"/>
          <w:sz w:val="24"/>
          <w:szCs w:val="28"/>
          <w:rtl/>
          <w:lang w:bidi="fa-IR"/>
        </w:rPr>
        <w:t>ر</w:t>
      </w:r>
      <w:r w:rsidRPr="00DC46EA">
        <w:rPr>
          <w:rFonts w:ascii="Times New Roman" w:hAnsi="Times New Roman" w:cs="B Nazanin"/>
          <w:sz w:val="24"/>
          <w:szCs w:val="28"/>
          <w:rtl/>
          <w:lang w:bidi="fa-IR"/>
        </w:rPr>
        <w:t xml:space="preserve"> ندارند</w:t>
      </w: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>؛ بعبارت دیگر</w:t>
      </w:r>
      <w:r w:rsidRPr="00DC46EA">
        <w:rPr>
          <w:rFonts w:ascii="Times New Roman" w:hAnsi="Times New Roman" w:cs="B Nazanin"/>
          <w:sz w:val="24"/>
          <w:szCs w:val="28"/>
          <w:rtl/>
          <w:lang w:bidi="fa-IR"/>
        </w:rPr>
        <w:t xml:space="preserve"> در ا</w:t>
      </w: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DC46EA">
        <w:rPr>
          <w:rFonts w:ascii="Times New Roman" w:hAnsi="Times New Roman" w:cs="B Nazanin" w:hint="eastAsia"/>
          <w:sz w:val="24"/>
          <w:szCs w:val="28"/>
          <w:rtl/>
          <w:lang w:bidi="fa-IR"/>
        </w:rPr>
        <w:t>ن</w:t>
      </w:r>
      <w:r w:rsidRPr="00DC46EA">
        <w:rPr>
          <w:rFonts w:ascii="Times New Roman" w:hAnsi="Times New Roman" w:cs="B Nazanin"/>
          <w:sz w:val="24"/>
          <w:szCs w:val="28"/>
          <w:rtl/>
          <w:lang w:bidi="fa-IR"/>
        </w:rPr>
        <w:t xml:space="preserve"> روش رتبه بند</w:t>
      </w: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DC46EA">
        <w:rPr>
          <w:rFonts w:ascii="Times New Roman" w:hAnsi="Times New Roman" w:cs="B Nazanin"/>
          <w:sz w:val="24"/>
          <w:szCs w:val="28"/>
          <w:rtl/>
          <w:lang w:bidi="fa-IR"/>
        </w:rPr>
        <w:t xml:space="preserve"> ر</w:t>
      </w: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DC46EA">
        <w:rPr>
          <w:rFonts w:ascii="Times New Roman" w:hAnsi="Times New Roman" w:cs="B Nazanin" w:hint="eastAsia"/>
          <w:sz w:val="24"/>
          <w:szCs w:val="28"/>
          <w:rtl/>
          <w:lang w:bidi="fa-IR"/>
        </w:rPr>
        <w:t>سک،</w:t>
      </w:r>
      <w:r w:rsidRPr="00DC46EA">
        <w:rPr>
          <w:rFonts w:ascii="Times New Roman" w:hAnsi="Times New Roman" w:cs="B Nazanin"/>
          <w:sz w:val="24"/>
          <w:szCs w:val="28"/>
          <w:rtl/>
          <w:lang w:bidi="fa-IR"/>
        </w:rPr>
        <w:t xml:space="preserve"> راهکار مورد استفاده برا</w:t>
      </w: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DC46EA">
        <w:rPr>
          <w:rFonts w:ascii="Times New Roman" w:hAnsi="Times New Roman" w:cs="B Nazanin"/>
          <w:sz w:val="24"/>
          <w:szCs w:val="28"/>
          <w:rtl/>
          <w:lang w:bidi="fa-IR"/>
        </w:rPr>
        <w:t xml:space="preserve"> پ</w:t>
      </w: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DC46EA">
        <w:rPr>
          <w:rFonts w:ascii="Times New Roman" w:hAnsi="Times New Roman" w:cs="B Nazanin" w:hint="eastAsia"/>
          <w:sz w:val="24"/>
          <w:szCs w:val="28"/>
          <w:rtl/>
          <w:lang w:bidi="fa-IR"/>
        </w:rPr>
        <w:t>اده</w:t>
      </w:r>
      <w:r w:rsidRPr="00DC46EA">
        <w:rPr>
          <w:rFonts w:ascii="Times New Roman" w:hAnsi="Times New Roman" w:cs="B Nazanin"/>
          <w:sz w:val="24"/>
          <w:szCs w:val="28"/>
          <w:rtl/>
          <w:lang w:bidi="fa-IR"/>
        </w:rPr>
        <w:t xml:space="preserve"> ساز</w:t>
      </w: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ی </w:t>
      </w:r>
      <w:r w:rsidRPr="00DC46EA">
        <w:rPr>
          <w:rFonts w:ascii="Times New Roman" w:hAnsi="Times New Roman" w:cs="B Nazanin"/>
          <w:sz w:val="24"/>
          <w:szCs w:val="28"/>
          <w:lang w:bidi="fa-IR"/>
        </w:rPr>
        <w:t>API</w:t>
      </w:r>
      <w:r w:rsidRPr="00DC46EA">
        <w:rPr>
          <w:rFonts w:ascii="Times New Roman" w:hAnsi="Times New Roman" w:cs="B Nazanin"/>
          <w:sz w:val="24"/>
          <w:szCs w:val="28"/>
          <w:rtl/>
          <w:lang w:bidi="fa-IR"/>
        </w:rPr>
        <w:t xml:space="preserve"> ، با رو</w:t>
      </w: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DC46EA">
        <w:rPr>
          <w:rFonts w:ascii="Times New Roman" w:hAnsi="Times New Roman" w:cs="B Nazanin" w:hint="eastAsia"/>
          <w:sz w:val="24"/>
          <w:szCs w:val="28"/>
          <w:rtl/>
          <w:lang w:bidi="fa-IR"/>
        </w:rPr>
        <w:t>کرد</w:t>
      </w: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DC46EA">
        <w:rPr>
          <w:rFonts w:ascii="Times New Roman" w:hAnsi="Times New Roman" w:cs="B Nazanin"/>
          <w:sz w:val="24"/>
          <w:szCs w:val="28"/>
          <w:rtl/>
          <w:lang w:bidi="fa-IR"/>
        </w:rPr>
        <w:t xml:space="preserve"> مستقل از جزئ</w:t>
      </w: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DC46EA">
        <w:rPr>
          <w:rFonts w:ascii="Times New Roman" w:hAnsi="Times New Roman" w:cs="B Nazanin" w:hint="eastAsia"/>
          <w:sz w:val="24"/>
          <w:szCs w:val="28"/>
          <w:rtl/>
          <w:lang w:bidi="fa-IR"/>
        </w:rPr>
        <w:t>ات</w:t>
      </w:r>
      <w:r w:rsidRPr="00DC46EA">
        <w:rPr>
          <w:rFonts w:ascii="Times New Roman" w:hAnsi="Times New Roman" w:cs="B Nazanin"/>
          <w:sz w:val="24"/>
          <w:szCs w:val="28"/>
          <w:rtl/>
          <w:lang w:bidi="fa-IR"/>
        </w:rPr>
        <w:t xml:space="preserve"> فناور</w:t>
      </w: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DC46EA">
        <w:rPr>
          <w:rFonts w:ascii="Times New Roman" w:hAnsi="Times New Roman" w:cs="B Nazanin"/>
          <w:sz w:val="24"/>
          <w:szCs w:val="28"/>
          <w:rtl/>
          <w:lang w:bidi="fa-IR"/>
        </w:rPr>
        <w:t xml:space="preserve"> به ارز</w:t>
      </w: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DC46EA">
        <w:rPr>
          <w:rFonts w:ascii="Times New Roman" w:hAnsi="Times New Roman" w:cs="B Nazanin" w:hint="eastAsia"/>
          <w:sz w:val="24"/>
          <w:szCs w:val="28"/>
          <w:rtl/>
          <w:lang w:bidi="fa-IR"/>
        </w:rPr>
        <w:t>اب</w:t>
      </w: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DC46EA">
        <w:rPr>
          <w:rFonts w:ascii="Times New Roman" w:hAnsi="Times New Roman" w:cs="B Nazanin"/>
          <w:sz w:val="24"/>
          <w:szCs w:val="28"/>
          <w:rtl/>
          <w:lang w:bidi="fa-IR"/>
        </w:rPr>
        <w:t xml:space="preserve"> ر</w:t>
      </w: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DC46EA">
        <w:rPr>
          <w:rFonts w:ascii="Times New Roman" w:hAnsi="Times New Roman" w:cs="B Nazanin" w:hint="eastAsia"/>
          <w:sz w:val="24"/>
          <w:szCs w:val="28"/>
          <w:rtl/>
          <w:lang w:bidi="fa-IR"/>
        </w:rPr>
        <w:t>سک</w:t>
      </w:r>
      <w:r w:rsidRPr="00DC46EA">
        <w:rPr>
          <w:rFonts w:ascii="Times New Roman" w:hAnsi="Times New Roman" w:cs="B Nazanin"/>
          <w:sz w:val="24"/>
          <w:szCs w:val="28"/>
          <w:rtl/>
          <w:lang w:bidi="fa-IR"/>
        </w:rPr>
        <w:t xml:space="preserve"> م</w:t>
      </w: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>ی‌</w:t>
      </w:r>
      <w:r w:rsidRPr="00DC46EA">
        <w:rPr>
          <w:rFonts w:ascii="Times New Roman" w:hAnsi="Times New Roman" w:cs="B Nazanin"/>
          <w:sz w:val="24"/>
          <w:szCs w:val="28"/>
          <w:rtl/>
          <w:lang w:bidi="fa-IR"/>
        </w:rPr>
        <w:t xml:space="preserve">پردازد. هرکدام از عوامل </w:t>
      </w: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DC46EA">
        <w:rPr>
          <w:rFonts w:ascii="Times New Roman" w:hAnsi="Times New Roman" w:cs="B Nazanin" w:hint="eastAsia"/>
          <w:sz w:val="24"/>
          <w:szCs w:val="28"/>
          <w:rtl/>
          <w:lang w:bidi="fa-IR"/>
        </w:rPr>
        <w:t>اد</w:t>
      </w:r>
      <w:r w:rsidRPr="00DC46EA">
        <w:rPr>
          <w:rFonts w:ascii="Times New Roman" w:hAnsi="Times New Roman" w:cs="B Nazanin"/>
          <w:sz w:val="24"/>
          <w:szCs w:val="28"/>
          <w:rtl/>
          <w:lang w:bidi="fa-IR"/>
        </w:rPr>
        <w:t xml:space="preserve"> شده م</w:t>
      </w: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>ی‌</w:t>
      </w:r>
      <w:r w:rsidRPr="00DC46EA">
        <w:rPr>
          <w:rFonts w:ascii="Times New Roman" w:hAnsi="Times New Roman" w:cs="B Nazanin" w:hint="eastAsia"/>
          <w:sz w:val="24"/>
          <w:szCs w:val="28"/>
          <w:rtl/>
          <w:lang w:bidi="fa-IR"/>
        </w:rPr>
        <w:t>تواند</w:t>
      </w:r>
      <w:r w:rsidRPr="00DC46EA">
        <w:rPr>
          <w:rFonts w:ascii="Times New Roman" w:hAnsi="Times New Roman" w:cs="B Nazanin"/>
          <w:sz w:val="24"/>
          <w:szCs w:val="28"/>
          <w:rtl/>
          <w:lang w:bidi="fa-IR"/>
        </w:rPr>
        <w:t xml:space="preserve"> </w:t>
      </w:r>
      <w:r w:rsidRPr="00DC46EA">
        <w:rPr>
          <w:rFonts w:ascii="Times New Roman" w:hAnsi="Times New Roman" w:cs="B Nazanin" w:hint="eastAsia"/>
          <w:sz w:val="24"/>
          <w:szCs w:val="28"/>
          <w:rtl/>
          <w:lang w:bidi="fa-IR"/>
        </w:rPr>
        <w:t>در</w:t>
      </w:r>
      <w:r w:rsidRPr="00DC46EA">
        <w:rPr>
          <w:rFonts w:ascii="Times New Roman" w:hAnsi="Times New Roman" w:cs="B Nazanin"/>
          <w:sz w:val="24"/>
          <w:szCs w:val="28"/>
          <w:rtl/>
          <w:lang w:bidi="fa-IR"/>
        </w:rPr>
        <w:t xml:space="preserve"> پ</w:t>
      </w: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DC46EA">
        <w:rPr>
          <w:rFonts w:ascii="Times New Roman" w:hAnsi="Times New Roman" w:cs="B Nazanin" w:hint="eastAsia"/>
          <w:sz w:val="24"/>
          <w:szCs w:val="28"/>
          <w:rtl/>
          <w:lang w:bidi="fa-IR"/>
        </w:rPr>
        <w:t>داکردن</w:t>
      </w:r>
      <w:r w:rsidRPr="00DC46EA">
        <w:rPr>
          <w:rFonts w:ascii="Times New Roman" w:hAnsi="Times New Roman" w:cs="B Nazanin"/>
          <w:sz w:val="24"/>
          <w:szCs w:val="28"/>
          <w:rtl/>
          <w:lang w:bidi="fa-IR"/>
        </w:rPr>
        <w:t xml:space="preserve"> و سواستفاده از </w:t>
      </w: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DC46EA">
        <w:rPr>
          <w:rFonts w:ascii="Times New Roman" w:hAnsi="Times New Roman" w:cs="B Nazanin" w:hint="eastAsia"/>
          <w:sz w:val="24"/>
          <w:szCs w:val="28"/>
          <w:rtl/>
          <w:lang w:bidi="fa-IR"/>
        </w:rPr>
        <w:t>ک</w:t>
      </w:r>
      <w:r w:rsidRPr="00DC46EA">
        <w:rPr>
          <w:rFonts w:ascii="Times New Roman" w:hAnsi="Times New Roman" w:cs="B Nazanin"/>
          <w:sz w:val="24"/>
          <w:szCs w:val="28"/>
          <w:rtl/>
          <w:lang w:bidi="fa-IR"/>
        </w:rPr>
        <w:t xml:space="preserve"> آس</w:t>
      </w: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DC46EA">
        <w:rPr>
          <w:rFonts w:ascii="Times New Roman" w:hAnsi="Times New Roman" w:cs="B Nazanin" w:hint="eastAsia"/>
          <w:sz w:val="24"/>
          <w:szCs w:val="28"/>
          <w:rtl/>
          <w:lang w:bidi="fa-IR"/>
        </w:rPr>
        <w:t>ب</w:t>
      </w: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>‌</w:t>
      </w:r>
      <w:r w:rsidRPr="00DC46EA">
        <w:rPr>
          <w:rFonts w:ascii="Times New Roman" w:hAnsi="Times New Roman" w:cs="B Nazanin"/>
          <w:sz w:val="24"/>
          <w:szCs w:val="28"/>
          <w:rtl/>
          <w:lang w:bidi="fa-IR"/>
        </w:rPr>
        <w:t>پذ</w:t>
      </w: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DC46EA">
        <w:rPr>
          <w:rFonts w:ascii="Times New Roman" w:hAnsi="Times New Roman" w:cs="B Nazanin" w:hint="eastAsia"/>
          <w:sz w:val="24"/>
          <w:szCs w:val="28"/>
          <w:rtl/>
          <w:lang w:bidi="fa-IR"/>
        </w:rPr>
        <w:t>ر</w:t>
      </w: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DC46EA">
        <w:rPr>
          <w:rFonts w:ascii="Times New Roman" w:hAnsi="Times New Roman" w:cs="B Nazanin"/>
          <w:sz w:val="24"/>
          <w:szCs w:val="28"/>
          <w:rtl/>
          <w:lang w:bidi="fa-IR"/>
        </w:rPr>
        <w:t xml:space="preserve"> به مهاجم کمک بسزا</w:t>
      </w: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>یی</w:t>
      </w:r>
      <w:r w:rsidRPr="00DC46EA">
        <w:rPr>
          <w:rFonts w:ascii="Times New Roman" w:hAnsi="Times New Roman" w:cs="B Nazanin"/>
          <w:sz w:val="24"/>
          <w:szCs w:val="28"/>
          <w:rtl/>
          <w:lang w:bidi="fa-IR"/>
        </w:rPr>
        <w:t xml:space="preserve"> کند. ا</w:t>
      </w: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DC46EA">
        <w:rPr>
          <w:rFonts w:ascii="Times New Roman" w:hAnsi="Times New Roman" w:cs="B Nazanin" w:hint="eastAsia"/>
          <w:sz w:val="24"/>
          <w:szCs w:val="28"/>
          <w:rtl/>
          <w:lang w:bidi="fa-IR"/>
        </w:rPr>
        <w:t>ن</w:t>
      </w:r>
      <w:r w:rsidRPr="00DC46EA">
        <w:rPr>
          <w:rFonts w:ascii="Times New Roman" w:hAnsi="Times New Roman" w:cs="B Nazanin"/>
          <w:sz w:val="24"/>
          <w:szCs w:val="28"/>
          <w:rtl/>
          <w:lang w:bidi="fa-IR"/>
        </w:rPr>
        <w:t xml:space="preserve"> رتبه بند</w:t>
      </w: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DC46EA">
        <w:rPr>
          <w:rFonts w:ascii="Times New Roman" w:hAnsi="Times New Roman" w:cs="B Nazanin"/>
          <w:sz w:val="24"/>
          <w:szCs w:val="28"/>
          <w:rtl/>
          <w:lang w:bidi="fa-IR"/>
        </w:rPr>
        <w:t xml:space="preserve"> تاث</w:t>
      </w: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DC46EA">
        <w:rPr>
          <w:rFonts w:ascii="Times New Roman" w:hAnsi="Times New Roman" w:cs="B Nazanin" w:hint="eastAsia"/>
          <w:sz w:val="24"/>
          <w:szCs w:val="28"/>
          <w:rtl/>
          <w:lang w:bidi="fa-IR"/>
        </w:rPr>
        <w:t>ر</w:t>
      </w:r>
      <w:r w:rsidRPr="00DC46EA">
        <w:rPr>
          <w:rFonts w:ascii="Times New Roman" w:hAnsi="Times New Roman" w:cs="B Nazanin"/>
          <w:sz w:val="24"/>
          <w:szCs w:val="28"/>
          <w:rtl/>
          <w:lang w:bidi="fa-IR"/>
        </w:rPr>
        <w:t xml:space="preserve"> واقع</w:t>
      </w: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DC46EA">
        <w:rPr>
          <w:rFonts w:ascii="Times New Roman" w:hAnsi="Times New Roman" w:cs="B Nazanin"/>
          <w:sz w:val="24"/>
          <w:szCs w:val="28"/>
          <w:rtl/>
          <w:lang w:bidi="fa-IR"/>
        </w:rPr>
        <w:t xml:space="preserve"> بر کسب و کارها را نشان نداده و ا</w:t>
      </w: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DC46EA">
        <w:rPr>
          <w:rFonts w:ascii="Times New Roman" w:hAnsi="Times New Roman" w:cs="B Nazanin" w:hint="eastAsia"/>
          <w:sz w:val="24"/>
          <w:szCs w:val="28"/>
          <w:rtl/>
          <w:lang w:bidi="fa-IR"/>
        </w:rPr>
        <w:t>ن</w:t>
      </w:r>
      <w:r w:rsidRPr="00DC46EA">
        <w:rPr>
          <w:rFonts w:ascii="Times New Roman" w:hAnsi="Times New Roman" w:cs="B Nazanin"/>
          <w:sz w:val="24"/>
          <w:szCs w:val="28"/>
          <w:rtl/>
          <w:lang w:bidi="fa-IR"/>
        </w:rPr>
        <w:t xml:space="preserve"> سازمان</w:t>
      </w: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>‌</w:t>
      </w:r>
      <w:r w:rsidRPr="00DC46EA">
        <w:rPr>
          <w:rFonts w:ascii="Times New Roman" w:hAnsi="Times New Roman" w:cs="B Nazanin"/>
          <w:sz w:val="24"/>
          <w:szCs w:val="28"/>
          <w:rtl/>
          <w:lang w:bidi="fa-IR"/>
        </w:rPr>
        <w:t>ها هستند که با توجه به نوع کسب و کار و فرهنگ سازمان</w:t>
      </w: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DC46EA">
        <w:rPr>
          <w:rFonts w:ascii="Times New Roman" w:hAnsi="Times New Roman" w:cs="B Nazanin"/>
          <w:sz w:val="24"/>
          <w:szCs w:val="28"/>
          <w:rtl/>
          <w:lang w:bidi="fa-IR"/>
        </w:rPr>
        <w:t xml:space="preserve"> خود، در م</w:t>
      </w: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DC46EA">
        <w:rPr>
          <w:rFonts w:ascii="Times New Roman" w:hAnsi="Times New Roman" w:cs="B Nazanin" w:hint="eastAsia"/>
          <w:sz w:val="24"/>
          <w:szCs w:val="28"/>
          <w:rtl/>
          <w:lang w:bidi="fa-IR"/>
        </w:rPr>
        <w:t>زان</w:t>
      </w:r>
      <w:r w:rsidRPr="00DC46EA">
        <w:rPr>
          <w:rFonts w:ascii="Times New Roman" w:hAnsi="Times New Roman" w:cs="B Nazanin"/>
          <w:sz w:val="24"/>
          <w:szCs w:val="28"/>
          <w:rtl/>
          <w:lang w:bidi="fa-IR"/>
        </w:rPr>
        <w:t xml:space="preserve"> پذ</w:t>
      </w: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DC46EA">
        <w:rPr>
          <w:rFonts w:ascii="Times New Roman" w:hAnsi="Times New Roman" w:cs="B Nazanin" w:hint="eastAsia"/>
          <w:sz w:val="24"/>
          <w:szCs w:val="28"/>
          <w:rtl/>
          <w:lang w:bidi="fa-IR"/>
        </w:rPr>
        <w:t>رش</w:t>
      </w:r>
      <w:r w:rsidRPr="00DC46EA">
        <w:rPr>
          <w:rFonts w:ascii="Times New Roman" w:hAnsi="Times New Roman" w:cs="B Nazanin"/>
          <w:sz w:val="24"/>
          <w:szCs w:val="28"/>
          <w:rtl/>
          <w:lang w:bidi="fa-IR"/>
        </w:rPr>
        <w:t xml:space="preserve"> خطر امن</w:t>
      </w: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DC46EA">
        <w:rPr>
          <w:rFonts w:ascii="Times New Roman" w:hAnsi="Times New Roman" w:cs="B Nazanin" w:hint="eastAsia"/>
          <w:sz w:val="24"/>
          <w:szCs w:val="28"/>
          <w:rtl/>
          <w:lang w:bidi="fa-IR"/>
        </w:rPr>
        <w:t>ت</w:t>
      </w: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DC46EA">
        <w:rPr>
          <w:rFonts w:ascii="Times New Roman" w:hAnsi="Times New Roman" w:cs="B Nazanin"/>
          <w:sz w:val="24"/>
          <w:szCs w:val="28"/>
          <w:rtl/>
          <w:lang w:bidi="fa-IR"/>
        </w:rPr>
        <w:t xml:space="preserve"> استفاده از </w:t>
      </w: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>اپلیکیشن‌</w:t>
      </w:r>
      <w:r w:rsidRPr="00DC46EA">
        <w:rPr>
          <w:rFonts w:ascii="Times New Roman" w:hAnsi="Times New Roman" w:cs="B Nazanin"/>
          <w:sz w:val="24"/>
          <w:szCs w:val="28"/>
          <w:rtl/>
          <w:lang w:bidi="fa-IR"/>
        </w:rPr>
        <w:t>ها و</w:t>
      </w: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Pr="00DC46EA">
        <w:rPr>
          <w:rFonts w:ascii="Times New Roman" w:hAnsi="Times New Roman" w:cs="B Nazanin"/>
          <w:sz w:val="24"/>
          <w:szCs w:val="28"/>
          <w:lang w:bidi="fa-IR"/>
        </w:rPr>
        <w:t>API</w:t>
      </w:r>
      <w:r w:rsidRPr="00DC46EA">
        <w:rPr>
          <w:rFonts w:ascii="Times New Roman" w:hAnsi="Times New Roman" w:cs="B Nazanin"/>
          <w:sz w:val="24"/>
          <w:szCs w:val="28"/>
          <w:rtl/>
          <w:lang w:bidi="fa-IR"/>
        </w:rPr>
        <w:t>ها تصم</w:t>
      </w: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DC46EA">
        <w:rPr>
          <w:rFonts w:ascii="Times New Roman" w:hAnsi="Times New Roman" w:cs="B Nazanin" w:hint="eastAsia"/>
          <w:sz w:val="24"/>
          <w:szCs w:val="28"/>
          <w:rtl/>
          <w:lang w:bidi="fa-IR"/>
        </w:rPr>
        <w:t>م</w:t>
      </w:r>
      <w:r w:rsidRPr="00DC46EA">
        <w:rPr>
          <w:rFonts w:ascii="Times New Roman" w:hAnsi="Times New Roman" w:cs="B Nazanin"/>
          <w:sz w:val="24"/>
          <w:szCs w:val="28"/>
          <w:rtl/>
          <w:lang w:bidi="fa-IR"/>
        </w:rPr>
        <w:t xml:space="preserve"> گ</w:t>
      </w: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DC46EA">
        <w:rPr>
          <w:rFonts w:ascii="Times New Roman" w:hAnsi="Times New Roman" w:cs="B Nazanin" w:hint="eastAsia"/>
          <w:sz w:val="24"/>
          <w:szCs w:val="28"/>
          <w:rtl/>
          <w:lang w:bidi="fa-IR"/>
        </w:rPr>
        <w:t>رنده</w:t>
      </w:r>
      <w:r w:rsidRPr="00DC46EA">
        <w:rPr>
          <w:rFonts w:ascii="Times New Roman" w:hAnsi="Times New Roman" w:cs="B Nazanin"/>
          <w:sz w:val="24"/>
          <w:szCs w:val="28"/>
          <w:rtl/>
          <w:lang w:bidi="fa-IR"/>
        </w:rPr>
        <w:t xml:space="preserve"> هستند.</w:t>
      </w: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هدف از مستند ده آسیب‌پذیری بحرانی امنیت </w:t>
      </w:r>
      <w:r w:rsidRPr="00DC46EA">
        <w:rPr>
          <w:rFonts w:ascii="Times New Roman" w:hAnsi="Times New Roman" w:cs="B Nazanin"/>
          <w:sz w:val="24"/>
          <w:szCs w:val="28"/>
          <w:lang w:bidi="fa-IR"/>
        </w:rPr>
        <w:t>API</w:t>
      </w:r>
      <w:r w:rsidRPr="00DC46EA">
        <w:rPr>
          <w:rFonts w:ascii="Times New Roman" w:hAnsi="Times New Roman" w:cs="B Nazanin" w:hint="cs"/>
          <w:sz w:val="24"/>
          <w:szCs w:val="28"/>
          <w:rtl/>
          <w:lang w:bidi="fa-IR"/>
        </w:rPr>
        <w:t>، تحلیل ریسک نیست.</w:t>
      </w:r>
    </w:p>
    <w:p w14:paraId="18AFF8EA" w14:textId="77777777" w:rsidR="00D648B8" w:rsidRPr="00DC46EA" w:rsidRDefault="00D648B8" w:rsidP="00D648B8">
      <w:pPr>
        <w:bidi/>
        <w:spacing w:beforeLines="100" w:before="240" w:line="276" w:lineRule="auto"/>
        <w:jc w:val="both"/>
        <w:rPr>
          <w:rFonts w:ascii="Times New Roman" w:hAnsi="Times New Roman" w:cs="B Nazanin"/>
          <w:b/>
          <w:bCs/>
          <w:sz w:val="28"/>
          <w:szCs w:val="32"/>
          <w:rtl/>
          <w:lang w:bidi="fa-IR"/>
        </w:rPr>
      </w:pPr>
      <w:r w:rsidRPr="00DC46EA">
        <w:rPr>
          <w:rFonts w:ascii="Times New Roman" w:hAnsi="Times New Roman" w:cs="B Nazanin" w:hint="cs"/>
          <w:b/>
          <w:bCs/>
          <w:sz w:val="28"/>
          <w:szCs w:val="32"/>
          <w:rtl/>
          <w:lang w:bidi="fa-IR"/>
        </w:rPr>
        <w:t>مراجع</w:t>
      </w:r>
    </w:p>
    <w:p w14:paraId="31ECD9DD" w14:textId="77777777" w:rsidR="00D648B8" w:rsidRPr="00DC46EA" w:rsidRDefault="00D648B8" w:rsidP="00D648B8">
      <w:pPr>
        <w:bidi/>
        <w:spacing w:beforeLines="100" w:before="240" w:line="276" w:lineRule="auto"/>
        <w:jc w:val="both"/>
        <w:rPr>
          <w:rFonts w:ascii="Times New Roman" w:hAnsi="Times New Roman" w:cs="B Nazanin"/>
          <w:b/>
          <w:bCs/>
          <w:sz w:val="24"/>
          <w:szCs w:val="28"/>
          <w:rtl/>
          <w:lang w:bidi="fa-IR"/>
        </w:rPr>
      </w:pPr>
      <w:r w:rsidRPr="00DC46EA">
        <w:rPr>
          <w:rFonts w:ascii="Times New Roman" w:hAnsi="Times New Roman" w:cs="B Nazanin"/>
          <w:b/>
          <w:bCs/>
          <w:sz w:val="24"/>
          <w:szCs w:val="28"/>
          <w:lang w:bidi="fa-IR"/>
        </w:rPr>
        <w:t>OWASP</w:t>
      </w:r>
    </w:p>
    <w:p w14:paraId="666EB73E" w14:textId="77777777" w:rsidR="00D648B8" w:rsidRPr="00DC46EA" w:rsidRDefault="0001457D" w:rsidP="00D648B8">
      <w:pPr>
        <w:pStyle w:val="ListParagraph"/>
        <w:numPr>
          <w:ilvl w:val="0"/>
          <w:numId w:val="8"/>
        </w:numPr>
        <w:bidi/>
        <w:spacing w:beforeLines="100" w:before="240"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hyperlink r:id="rId8" w:history="1">
        <w:r w:rsidR="00D648B8" w:rsidRPr="00DC46EA">
          <w:rPr>
            <w:rStyle w:val="Hyperlink"/>
            <w:rFonts w:ascii="LiberationSerif" w:hAnsi="LiberationSerif" w:cs="B Nazanin"/>
            <w:sz w:val="24"/>
            <w:szCs w:val="24"/>
          </w:rPr>
          <w:t>OWASP Risk Rating Methodology</w:t>
        </w:r>
      </w:hyperlink>
    </w:p>
    <w:p w14:paraId="4078BC0F" w14:textId="77777777" w:rsidR="00D648B8" w:rsidRPr="00DC46EA" w:rsidRDefault="0001457D" w:rsidP="00D648B8">
      <w:pPr>
        <w:pStyle w:val="ListParagraph"/>
        <w:numPr>
          <w:ilvl w:val="0"/>
          <w:numId w:val="8"/>
        </w:numPr>
        <w:bidi/>
        <w:spacing w:beforeLines="100" w:before="240"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hyperlink r:id="rId9" w:history="1">
        <w:r w:rsidR="00D648B8" w:rsidRPr="00DC46EA">
          <w:rPr>
            <w:rStyle w:val="Hyperlink"/>
            <w:rFonts w:ascii="LiberationSerif" w:hAnsi="LiberationSerif" w:cs="B Nazanin"/>
            <w:sz w:val="24"/>
            <w:szCs w:val="24"/>
          </w:rPr>
          <w:t>Article on Threat/Risk Modeling</w:t>
        </w:r>
      </w:hyperlink>
    </w:p>
    <w:p w14:paraId="72D372EC" w14:textId="77777777" w:rsidR="00D648B8" w:rsidRPr="00DC46EA" w:rsidRDefault="00D648B8" w:rsidP="00D648B8">
      <w:pPr>
        <w:bidi/>
        <w:spacing w:beforeLines="100" w:before="240" w:line="276" w:lineRule="auto"/>
        <w:jc w:val="both"/>
        <w:rPr>
          <w:rFonts w:ascii="Times New Roman" w:hAnsi="Times New Roman" w:cs="B Nazanin"/>
          <w:b/>
          <w:bCs/>
          <w:sz w:val="24"/>
          <w:szCs w:val="28"/>
          <w:rtl/>
          <w:lang w:bidi="fa-IR"/>
        </w:rPr>
      </w:pPr>
      <w:r w:rsidRPr="00DC46EA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>خارجی</w:t>
      </w:r>
    </w:p>
    <w:p w14:paraId="34ECC205" w14:textId="77777777" w:rsidR="00D648B8" w:rsidRPr="00DC46EA" w:rsidRDefault="0001457D" w:rsidP="00D648B8">
      <w:pPr>
        <w:pStyle w:val="ListParagraph"/>
        <w:numPr>
          <w:ilvl w:val="0"/>
          <w:numId w:val="8"/>
        </w:numPr>
        <w:bidi/>
        <w:spacing w:beforeLines="100" w:before="240"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hyperlink r:id="rId10" w:history="1">
        <w:r w:rsidR="00D648B8" w:rsidRPr="00DC46EA">
          <w:rPr>
            <w:rStyle w:val="Hyperlink"/>
            <w:rFonts w:ascii="LiberationSerif" w:hAnsi="LiberationSerif" w:cs="B Nazanin"/>
            <w:sz w:val="24"/>
            <w:szCs w:val="24"/>
          </w:rPr>
          <w:t>ISO 31000: Risk Management Std</w:t>
        </w:r>
      </w:hyperlink>
    </w:p>
    <w:p w14:paraId="79DBFE13" w14:textId="77777777" w:rsidR="00D648B8" w:rsidRPr="00DC46EA" w:rsidRDefault="0001457D" w:rsidP="00D648B8">
      <w:pPr>
        <w:pStyle w:val="ListParagraph"/>
        <w:numPr>
          <w:ilvl w:val="0"/>
          <w:numId w:val="8"/>
        </w:numPr>
        <w:bidi/>
        <w:spacing w:beforeLines="100" w:before="240"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hyperlink r:id="rId11" w:history="1">
        <w:r w:rsidR="00D648B8" w:rsidRPr="00DC46EA">
          <w:rPr>
            <w:rStyle w:val="Hyperlink"/>
            <w:rFonts w:ascii="LiberationSerif" w:hAnsi="LiberationSerif" w:cs="B Nazanin"/>
            <w:sz w:val="24"/>
            <w:szCs w:val="24"/>
          </w:rPr>
          <w:t>ISO 27001: ISMS</w:t>
        </w:r>
      </w:hyperlink>
    </w:p>
    <w:p w14:paraId="07AF0AF4" w14:textId="77777777" w:rsidR="00D648B8" w:rsidRPr="00DC46EA" w:rsidRDefault="0001457D" w:rsidP="00D648B8">
      <w:pPr>
        <w:pStyle w:val="ListParagraph"/>
        <w:numPr>
          <w:ilvl w:val="0"/>
          <w:numId w:val="8"/>
        </w:numPr>
        <w:bidi/>
        <w:spacing w:beforeLines="100" w:before="240"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hyperlink r:id="rId12" w:history="1">
        <w:r w:rsidR="00D648B8" w:rsidRPr="00DC46EA">
          <w:rPr>
            <w:rStyle w:val="Hyperlink"/>
            <w:rFonts w:ascii="LiberationSerif" w:hAnsi="LiberationSerif" w:cs="B Nazanin"/>
            <w:sz w:val="24"/>
            <w:szCs w:val="24"/>
          </w:rPr>
          <w:t>NIST Cyber Framework (US)</w:t>
        </w:r>
      </w:hyperlink>
    </w:p>
    <w:p w14:paraId="6143E36B" w14:textId="77777777" w:rsidR="00D648B8" w:rsidRPr="00DC46EA" w:rsidRDefault="0001457D" w:rsidP="00D648B8">
      <w:pPr>
        <w:pStyle w:val="ListParagraph"/>
        <w:numPr>
          <w:ilvl w:val="0"/>
          <w:numId w:val="8"/>
        </w:numPr>
        <w:bidi/>
        <w:spacing w:beforeLines="100" w:before="240"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hyperlink r:id="rId13" w:history="1">
        <w:r w:rsidR="00D648B8" w:rsidRPr="00DC46EA">
          <w:rPr>
            <w:rStyle w:val="Hyperlink"/>
            <w:rFonts w:ascii="LiberationSerif" w:hAnsi="LiberationSerif" w:cs="B Nazanin"/>
            <w:sz w:val="24"/>
            <w:szCs w:val="24"/>
          </w:rPr>
          <w:t>ASD Strategic Mitigations (AU)</w:t>
        </w:r>
      </w:hyperlink>
    </w:p>
    <w:p w14:paraId="0478633B" w14:textId="77777777" w:rsidR="00D648B8" w:rsidRPr="00DC46EA" w:rsidRDefault="0001457D" w:rsidP="00D648B8">
      <w:pPr>
        <w:pStyle w:val="ListParagraph"/>
        <w:numPr>
          <w:ilvl w:val="0"/>
          <w:numId w:val="8"/>
        </w:numPr>
        <w:bidi/>
        <w:spacing w:beforeLines="100" w:before="240"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hyperlink r:id="rId14" w:history="1">
        <w:r w:rsidR="00D648B8" w:rsidRPr="00DC46EA">
          <w:rPr>
            <w:rStyle w:val="Hyperlink"/>
            <w:rFonts w:ascii="LiberationSerif" w:hAnsi="LiberationSerif" w:cs="B Nazanin"/>
            <w:sz w:val="24"/>
            <w:szCs w:val="24"/>
          </w:rPr>
          <w:t>NIST CVSS 3.0</w:t>
        </w:r>
      </w:hyperlink>
    </w:p>
    <w:p w14:paraId="47837A2C" w14:textId="19837C5E" w:rsidR="00D31D19" w:rsidRPr="00D648B8" w:rsidRDefault="0001457D" w:rsidP="00D648B8">
      <w:pPr>
        <w:pStyle w:val="ListParagraph"/>
        <w:numPr>
          <w:ilvl w:val="0"/>
          <w:numId w:val="8"/>
        </w:numPr>
        <w:bidi/>
        <w:rPr>
          <w:rFonts w:cs="B Nazanin"/>
        </w:rPr>
      </w:pPr>
      <w:hyperlink r:id="rId15" w:history="1">
        <w:r w:rsidR="00D648B8" w:rsidRPr="00DC46EA">
          <w:rPr>
            <w:rStyle w:val="Hyperlink"/>
            <w:rFonts w:ascii="LiberationSerif" w:hAnsi="LiberationSerif" w:cs="B Nazanin"/>
            <w:sz w:val="24"/>
            <w:szCs w:val="24"/>
          </w:rPr>
          <w:t>Microsoft Threat Modeling Tool</w:t>
        </w:r>
      </w:hyperlink>
      <w:bookmarkEnd w:id="0"/>
    </w:p>
    <w:sectPr w:rsidR="00D31D19" w:rsidRPr="00D648B8" w:rsidSect="00DC46EA">
      <w:headerReference w:type="default" r:id="rId16"/>
      <w:footnotePr>
        <w:numRestart w:val="eachPage"/>
      </w:footnotePr>
      <w:pgSz w:w="11907" w:h="16840" w:code="9"/>
      <w:pgMar w:top="425" w:right="1418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DB109" w14:textId="77777777" w:rsidR="0001457D" w:rsidRDefault="0001457D" w:rsidP="00D31D19">
      <w:pPr>
        <w:spacing w:after="0" w:line="240" w:lineRule="auto"/>
      </w:pPr>
      <w:r>
        <w:separator/>
      </w:r>
    </w:p>
  </w:endnote>
  <w:endnote w:type="continuationSeparator" w:id="0">
    <w:p w14:paraId="451811DE" w14:textId="77777777" w:rsidR="0001457D" w:rsidRDefault="0001457D" w:rsidP="00D3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2 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100F5" w14:textId="77777777" w:rsidR="0001457D" w:rsidRDefault="0001457D" w:rsidP="00D31D19">
      <w:pPr>
        <w:spacing w:after="0" w:line="240" w:lineRule="auto"/>
      </w:pPr>
      <w:r>
        <w:separator/>
      </w:r>
    </w:p>
  </w:footnote>
  <w:footnote w:type="continuationSeparator" w:id="0">
    <w:p w14:paraId="7EFC683A" w14:textId="77777777" w:rsidR="0001457D" w:rsidRDefault="0001457D" w:rsidP="00D31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23A4C" w14:textId="28AD1FA0" w:rsidR="00D31D19" w:rsidRPr="00D648B8" w:rsidRDefault="00834B5B" w:rsidP="004C45F1">
    <w:pPr>
      <w:bidi/>
      <w:jc w:val="both"/>
      <w:rPr>
        <w:rFonts w:ascii="Times New Roman" w:hAnsi="Times New Roman" w:cs="B Nazanin"/>
        <w:b/>
        <w:bCs/>
        <w:sz w:val="36"/>
        <w:szCs w:val="40"/>
        <w:lang w:bidi="fa-IR"/>
      </w:rPr>
    </w:pPr>
    <w:bookmarkStart w:id="1" w:name="_Hlk104716035"/>
    <w:bookmarkStart w:id="2" w:name="_Hlk104716036"/>
    <w:r w:rsidRPr="00D648B8">
      <w:rPr>
        <w:rFonts w:ascii="Times New Roman" w:hAnsi="Times New Roman" w:cs="B Nazanin"/>
        <w:b/>
        <w:bCs/>
        <w:color w:val="FFFFFF" w:themeColor="background1"/>
        <w:sz w:val="36"/>
        <w:szCs w:val="40"/>
        <w:shd w:val="clear" w:color="auto" w:fill="DCDCDC"/>
      </w:rPr>
      <w:t xml:space="preserve"> </w:t>
    </w:r>
    <w:r w:rsidR="00194F3C" w:rsidRPr="00D648B8">
      <w:rPr>
        <w:rFonts w:ascii="Times New Roman" w:hAnsi="Times New Roman" w:cs="B Nazanin"/>
        <w:b/>
        <w:bCs/>
        <w:color w:val="FFFFFF" w:themeColor="background1"/>
        <w:sz w:val="36"/>
        <w:szCs w:val="40"/>
        <w:shd w:val="clear" w:color="auto" w:fill="DCDCDC"/>
      </w:rPr>
      <w:t>RISK</w:t>
    </w:r>
    <w:r w:rsidRPr="00D648B8">
      <w:rPr>
        <w:rFonts w:ascii="Times New Roman" w:hAnsi="Times New Roman" w:cs="B Nazanin"/>
        <w:b/>
        <w:bCs/>
        <w:color w:val="FFFFFF" w:themeColor="background1"/>
        <w:sz w:val="36"/>
        <w:szCs w:val="40"/>
        <w:shd w:val="clear" w:color="auto" w:fill="DCDCDC"/>
      </w:rPr>
      <w:t xml:space="preserve"> </w:t>
    </w:r>
    <w:r w:rsidR="00194F3C" w:rsidRPr="00D648B8">
      <w:rPr>
        <w:rFonts w:ascii="Times New Roman" w:hAnsi="Times New Roman" w:cs="B Nazanin" w:hint="cs"/>
        <w:b/>
        <w:bCs/>
        <w:sz w:val="36"/>
        <w:szCs w:val="40"/>
        <w:rtl/>
        <w:lang w:bidi="fa-IR"/>
      </w:rPr>
      <w:t>ریسک</w:t>
    </w:r>
    <w:r w:rsidR="00DC46EA">
      <w:rPr>
        <w:rFonts w:ascii="Times New Roman" w:hAnsi="Times New Roman" w:cs="B Nazanin" w:hint="cs"/>
        <w:b/>
        <w:bCs/>
        <w:sz w:val="36"/>
        <w:szCs w:val="40"/>
        <w:rtl/>
        <w:lang w:bidi="fa-IR"/>
      </w:rPr>
      <w:t>‌‌‌ها</w:t>
    </w:r>
    <w:r w:rsidR="00194F3C" w:rsidRPr="00D648B8">
      <w:rPr>
        <w:rFonts w:ascii="Times New Roman" w:hAnsi="Times New Roman" w:cs="B Nazanin" w:hint="cs"/>
        <w:b/>
        <w:bCs/>
        <w:sz w:val="36"/>
        <w:szCs w:val="40"/>
        <w:rtl/>
        <w:lang w:bidi="fa-IR"/>
      </w:rPr>
      <w:t xml:space="preserve">ی امنیتی </w:t>
    </w:r>
    <w:r w:rsidR="00194F3C" w:rsidRPr="00D648B8">
      <w:rPr>
        <w:rFonts w:ascii="Times New Roman" w:hAnsi="Times New Roman" w:cs="B Nazanin"/>
        <w:b/>
        <w:bCs/>
        <w:sz w:val="36"/>
        <w:szCs w:val="40"/>
        <w:lang w:bidi="fa-IR"/>
      </w:rPr>
      <w:t>API</w:t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79A4"/>
    <w:multiLevelType w:val="hybridMultilevel"/>
    <w:tmpl w:val="364A14F6"/>
    <w:lvl w:ilvl="0" w:tplc="C86A033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D0783"/>
    <w:multiLevelType w:val="hybridMultilevel"/>
    <w:tmpl w:val="95229F12"/>
    <w:lvl w:ilvl="0" w:tplc="A1E43EC8">
      <w:numFmt w:val="bullet"/>
      <w:lvlText w:val=""/>
      <w:lvlJc w:val="left"/>
      <w:pPr>
        <w:ind w:left="720" w:hanging="360"/>
      </w:pPr>
      <w:rPr>
        <w:rFonts w:ascii="Symbol" w:eastAsiaTheme="minorHAnsi" w:hAnsi="Symbol" w:cs="2  Mitra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55082"/>
    <w:multiLevelType w:val="hybridMultilevel"/>
    <w:tmpl w:val="F0800354"/>
    <w:lvl w:ilvl="0" w:tplc="1DFA643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2752D"/>
    <w:multiLevelType w:val="hybridMultilevel"/>
    <w:tmpl w:val="4516E360"/>
    <w:lvl w:ilvl="0" w:tplc="CA4A365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A202A"/>
    <w:multiLevelType w:val="hybridMultilevel"/>
    <w:tmpl w:val="DB46B258"/>
    <w:lvl w:ilvl="0" w:tplc="E0F6D7C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E0F6D7C4">
      <w:numFmt w:val="bullet"/>
      <w:lvlText w:val=""/>
      <w:lvlJc w:val="left"/>
      <w:pPr>
        <w:ind w:left="1440" w:hanging="360"/>
      </w:pPr>
      <w:rPr>
        <w:rFonts w:ascii="Symbol" w:eastAsiaTheme="minorHAnsi" w:hAnsi="Symbol" w:cs="B Nazani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30ABD"/>
    <w:multiLevelType w:val="hybridMultilevel"/>
    <w:tmpl w:val="A40861FC"/>
    <w:lvl w:ilvl="0" w:tplc="C49C27DC">
      <w:numFmt w:val="bullet"/>
      <w:lvlText w:val=""/>
      <w:lvlJc w:val="left"/>
      <w:pPr>
        <w:ind w:left="720" w:hanging="360"/>
      </w:pPr>
      <w:rPr>
        <w:rFonts w:ascii="Symbol" w:eastAsiaTheme="minorHAnsi" w:hAnsi="Symbol" w:cs="2 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BB0C8F"/>
    <w:multiLevelType w:val="hybridMultilevel"/>
    <w:tmpl w:val="82B604F8"/>
    <w:lvl w:ilvl="0" w:tplc="B84A7A8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C15E6"/>
    <w:multiLevelType w:val="hybridMultilevel"/>
    <w:tmpl w:val="A6AA633E"/>
    <w:lvl w:ilvl="0" w:tplc="6BC25502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033616">
    <w:abstractNumId w:val="4"/>
  </w:num>
  <w:num w:numId="2" w16cid:durableId="703557713">
    <w:abstractNumId w:val="3"/>
  </w:num>
  <w:num w:numId="3" w16cid:durableId="617445624">
    <w:abstractNumId w:val="0"/>
  </w:num>
  <w:num w:numId="4" w16cid:durableId="683023185">
    <w:abstractNumId w:val="7"/>
  </w:num>
  <w:num w:numId="5" w16cid:durableId="1543904467">
    <w:abstractNumId w:val="2"/>
  </w:num>
  <w:num w:numId="6" w16cid:durableId="719592144">
    <w:abstractNumId w:val="6"/>
  </w:num>
  <w:num w:numId="7" w16cid:durableId="1664045852">
    <w:abstractNumId w:val="5"/>
  </w:num>
  <w:num w:numId="8" w16cid:durableId="658189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D19"/>
    <w:rsid w:val="0001457D"/>
    <w:rsid w:val="00022DF0"/>
    <w:rsid w:val="00023EF2"/>
    <w:rsid w:val="0003176E"/>
    <w:rsid w:val="00046327"/>
    <w:rsid w:val="0006194A"/>
    <w:rsid w:val="00075096"/>
    <w:rsid w:val="00082ACE"/>
    <w:rsid w:val="000944CB"/>
    <w:rsid w:val="000A3060"/>
    <w:rsid w:val="000D1B5A"/>
    <w:rsid w:val="000E3DF7"/>
    <w:rsid w:val="000E46DC"/>
    <w:rsid w:val="000F6253"/>
    <w:rsid w:val="0011110B"/>
    <w:rsid w:val="001155B0"/>
    <w:rsid w:val="00171E8E"/>
    <w:rsid w:val="00194F3C"/>
    <w:rsid w:val="001B76C2"/>
    <w:rsid w:val="001D42CA"/>
    <w:rsid w:val="001E2363"/>
    <w:rsid w:val="001F0A0B"/>
    <w:rsid w:val="001F369C"/>
    <w:rsid w:val="001F5B18"/>
    <w:rsid w:val="00222751"/>
    <w:rsid w:val="002548DA"/>
    <w:rsid w:val="00254A9B"/>
    <w:rsid w:val="0029050D"/>
    <w:rsid w:val="002B5E79"/>
    <w:rsid w:val="002C1EFD"/>
    <w:rsid w:val="002C754A"/>
    <w:rsid w:val="002D6DD9"/>
    <w:rsid w:val="002E13D1"/>
    <w:rsid w:val="00352526"/>
    <w:rsid w:val="00354BA4"/>
    <w:rsid w:val="0035528B"/>
    <w:rsid w:val="00356077"/>
    <w:rsid w:val="003707E2"/>
    <w:rsid w:val="00392B34"/>
    <w:rsid w:val="003A4C71"/>
    <w:rsid w:val="003C00F4"/>
    <w:rsid w:val="003D40D3"/>
    <w:rsid w:val="004012FA"/>
    <w:rsid w:val="00446AA4"/>
    <w:rsid w:val="00495FB6"/>
    <w:rsid w:val="004A41C9"/>
    <w:rsid w:val="004C45F1"/>
    <w:rsid w:val="004C597D"/>
    <w:rsid w:val="004F3CA9"/>
    <w:rsid w:val="004F7E64"/>
    <w:rsid w:val="00574CB1"/>
    <w:rsid w:val="0059376A"/>
    <w:rsid w:val="00596F98"/>
    <w:rsid w:val="005B2171"/>
    <w:rsid w:val="00613D1B"/>
    <w:rsid w:val="00614094"/>
    <w:rsid w:val="00615F1F"/>
    <w:rsid w:val="00620D3E"/>
    <w:rsid w:val="00626C25"/>
    <w:rsid w:val="00635944"/>
    <w:rsid w:val="00643206"/>
    <w:rsid w:val="00644E2A"/>
    <w:rsid w:val="0068093D"/>
    <w:rsid w:val="00724252"/>
    <w:rsid w:val="00727509"/>
    <w:rsid w:val="0074612C"/>
    <w:rsid w:val="0076562B"/>
    <w:rsid w:val="00792C6D"/>
    <w:rsid w:val="00793128"/>
    <w:rsid w:val="007B661B"/>
    <w:rsid w:val="007C1999"/>
    <w:rsid w:val="007D01F4"/>
    <w:rsid w:val="007D562C"/>
    <w:rsid w:val="00824A18"/>
    <w:rsid w:val="00827E51"/>
    <w:rsid w:val="00834B5B"/>
    <w:rsid w:val="008A5F7C"/>
    <w:rsid w:val="008D7689"/>
    <w:rsid w:val="00901727"/>
    <w:rsid w:val="00933289"/>
    <w:rsid w:val="00960AA0"/>
    <w:rsid w:val="00967981"/>
    <w:rsid w:val="00985419"/>
    <w:rsid w:val="00994510"/>
    <w:rsid w:val="009D25F9"/>
    <w:rsid w:val="009F75DA"/>
    <w:rsid w:val="00A079B6"/>
    <w:rsid w:val="00A25E90"/>
    <w:rsid w:val="00A4165C"/>
    <w:rsid w:val="00A42144"/>
    <w:rsid w:val="00A44C15"/>
    <w:rsid w:val="00A61CA0"/>
    <w:rsid w:val="00A76FD8"/>
    <w:rsid w:val="00A97943"/>
    <w:rsid w:val="00AB29BC"/>
    <w:rsid w:val="00AB7595"/>
    <w:rsid w:val="00AD2816"/>
    <w:rsid w:val="00B236DC"/>
    <w:rsid w:val="00B413BE"/>
    <w:rsid w:val="00B43575"/>
    <w:rsid w:val="00B546F5"/>
    <w:rsid w:val="00B67EB4"/>
    <w:rsid w:val="00B95124"/>
    <w:rsid w:val="00BB22AA"/>
    <w:rsid w:val="00BC48EF"/>
    <w:rsid w:val="00C04CB0"/>
    <w:rsid w:val="00C84319"/>
    <w:rsid w:val="00C938A0"/>
    <w:rsid w:val="00C95A05"/>
    <w:rsid w:val="00CB0B01"/>
    <w:rsid w:val="00CC0DB2"/>
    <w:rsid w:val="00CD3FE9"/>
    <w:rsid w:val="00CE3E21"/>
    <w:rsid w:val="00CE564E"/>
    <w:rsid w:val="00CF162A"/>
    <w:rsid w:val="00D13909"/>
    <w:rsid w:val="00D16A12"/>
    <w:rsid w:val="00D31D19"/>
    <w:rsid w:val="00D648B8"/>
    <w:rsid w:val="00D75F09"/>
    <w:rsid w:val="00D77971"/>
    <w:rsid w:val="00D81FF0"/>
    <w:rsid w:val="00DC2FDD"/>
    <w:rsid w:val="00DC46EA"/>
    <w:rsid w:val="00DD0236"/>
    <w:rsid w:val="00DD3B0B"/>
    <w:rsid w:val="00DE7F5A"/>
    <w:rsid w:val="00E12137"/>
    <w:rsid w:val="00E36456"/>
    <w:rsid w:val="00E36A8E"/>
    <w:rsid w:val="00E430B7"/>
    <w:rsid w:val="00E600DE"/>
    <w:rsid w:val="00E77647"/>
    <w:rsid w:val="00EC2AFD"/>
    <w:rsid w:val="00EE109D"/>
    <w:rsid w:val="00F12F65"/>
    <w:rsid w:val="00F33C43"/>
    <w:rsid w:val="00F47F70"/>
    <w:rsid w:val="00F6575F"/>
    <w:rsid w:val="00F8621C"/>
    <w:rsid w:val="00FC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61183"/>
  <w15:chartTrackingRefBased/>
  <w15:docId w15:val="{AD39D4B3-8A33-4F3F-8B8B-39FFF82A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color w:val="000000" w:themeColor="text1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2FA"/>
    <w:rPr>
      <w:rFonts w:asciiTheme="minorHAnsi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D1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31D19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1D19"/>
    <w:pPr>
      <w:ind w:left="720"/>
      <w:contextualSpacing/>
    </w:pPr>
  </w:style>
  <w:style w:type="character" w:customStyle="1" w:styleId="fontstyle01">
    <w:name w:val="fontstyle01"/>
    <w:basedOn w:val="DefaultParagraphFont"/>
    <w:rsid w:val="00D31D19"/>
    <w:rPr>
      <w:rFonts w:ascii="LiberationSerif" w:hAnsi="LiberationSerif" w:hint="default"/>
      <w:b w:val="0"/>
      <w:bCs w:val="0"/>
      <w:i w:val="0"/>
      <w:iCs w:val="0"/>
      <w:color w:val="00008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1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D19"/>
    <w:rPr>
      <w:rFonts w:asciiTheme="minorHAnsi" w:hAnsiTheme="minorHAnsi" w:cstheme="minorBid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31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D19"/>
    <w:rPr>
      <w:rFonts w:asciiTheme="minorHAnsi" w:hAnsiTheme="minorHAnsi" w:cstheme="minorBidi"/>
      <w:color w:val="auto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376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376A"/>
    <w:rPr>
      <w:rFonts w:asciiTheme="minorHAnsi" w:hAnsiTheme="minorHAnsi" w:cstheme="minorBidi"/>
      <w:color w:val="auto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376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F75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57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wasp.org/index.php/OWASP_Risk_Rating_Methodology" TargetMode="External"/><Relationship Id="rId13" Type="http://schemas.openxmlformats.org/officeDocument/2006/relationships/hyperlink" Target="https://www.asd.gov.au/infosec/mitigationstrategies.ht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ist.gov/cyberframework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so.org/isoiec-27001-information-security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icrosoft.com/en-us/download/details.aspx?id=49168" TargetMode="External"/><Relationship Id="rId10" Type="http://schemas.openxmlformats.org/officeDocument/2006/relationships/hyperlink" Target="https://www.iso.org/iso-31000-risk-managemen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wasp.org/index.php/Threat_Risk_Modeling" TargetMode="External"/><Relationship Id="rId14" Type="http://schemas.openxmlformats.org/officeDocument/2006/relationships/hyperlink" Target="https://nvd.nist.gov/vuln-metrics/cvss/v3-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61616-63A5-4422-B355-ECA88F350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Nowbakht</cp:lastModifiedBy>
  <cp:revision>5</cp:revision>
  <cp:lastPrinted>2022-05-08T11:59:00Z</cp:lastPrinted>
  <dcterms:created xsi:type="dcterms:W3CDTF">2022-05-18T07:42:00Z</dcterms:created>
  <dcterms:modified xsi:type="dcterms:W3CDTF">2022-05-29T07:04:00Z</dcterms:modified>
</cp:coreProperties>
</file>