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Nunito" w:cs="Nunito" w:eastAsia="Nunito" w:hAnsi="Nunito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Lab #3 - x86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x86 Registers</w:t>
      </w:r>
    </w:p>
    <w:p w:rsidR="00000000" w:rsidDel="00000000" w:rsidP="00000000" w:rsidRDefault="00000000" w:rsidRPr="00000000" w14:paraId="00000006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#1 - Quiz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answer all of the given questions.</w:t>
      </w:r>
    </w:p>
    <w:p w:rsidR="00000000" w:rsidDel="00000000" w:rsidP="00000000" w:rsidRDefault="00000000" w:rsidRPr="00000000" w14:paraId="0000000A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 Which of the following registers is the Stack Pointer?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Q2) BP is a register that holds the address of the next instruction to be executed.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Q3) AX is a 16-bit register, while EAX is a 32-bit register.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Q4) Which of the following registers is used for loops?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Q5) Which of the following registers is the Source Index Pointer?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Q6) Which of the following EFLAGS Registers is set if the result of the operation is Zero?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Q7) What is the name of the EFLAGS register that is used when the result of an operation is negative? 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Q8) The register EAX can also be used to hold a function call's return value.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Q9) Which of the following registers is the Instruction Pointer?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Q10) Which of the following registers is not a 32-bit register? (select all that apply)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RBX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Q11) Explain why the stack uses two registers.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#2 – Please reflect on what you learned from this lab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unito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tabs>
        <w:tab w:val="center" w:pos="4680"/>
      </w:tabs>
      <w:rPr/>
    </w:pPr>
    <w:r w:rsidDel="00000000" w:rsidR="00000000" w:rsidRPr="00000000">
      <w:rPr>
        <w:rtl w:val="0"/>
      </w:rPr>
      <w:t xml:space="preserve">© 2022</w:t>
      <w:tab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exploit.ashemery.com</w:t>
      </w:r>
    </w:hyperlink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08.0" w:type="dxa"/>
      <w:tblLayout w:type="fixed"/>
      <w:tblLook w:val="0000"/>
    </w:tblPr>
    <w:tblGrid>
      <w:gridCol w:w="8140"/>
      <w:gridCol w:w="1436"/>
      <w:tblGridChange w:id="0">
        <w:tblGrid>
          <w:gridCol w:w="8140"/>
          <w:gridCol w:w="1436"/>
        </w:tblGrid>
      </w:tblGridChange>
    </w:tblGrid>
    <w:tr>
      <w:trPr>
        <w:cantSplit w:val="0"/>
        <w:trHeight w:val="450" w:hRule="atLeast"/>
        <w:tblHeader w:val="0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Offensive Security &amp; Reverse Engineering (OSRE)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2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64" w:lineRule="auto"/>
      <w:ind w:left="0"/>
    </w:pPr>
    <w:rPr>
      <w:rFonts w:ascii="Cambria" w:cs="Cambria" w:eastAsia="Cambria" w:hAnsi="Cambria"/>
      <w:b w:val="1"/>
      <w:color w:val="1736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21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Rule="auto"/>
      <w:ind w:left="0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