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2"/>
        </w:rPr>
        <w:t>CHEW NETWORK</w:t>
      </w:r>
    </w:p>
    <w:p>
      <w:pPr>
        <w:jc w:val="center"/>
      </w:pPr>
      <w:r>
        <w:rPr>
          <w:b/>
          <w:sz w:val="26"/>
        </w:rPr>
        <w:t>PARTICIPATION &amp; SERVICE SELECTION AGREEMENT</w:t>
      </w:r>
    </w:p>
    <w:p>
      <w:pPr>
        <w:jc w:val="center"/>
      </w:pPr>
      <w:r>
        <w:rPr>
          <w:i/>
          <w:sz w:val="18"/>
        </w:rPr>
        <w:t>Food + Technology • AI-Powered Brand Building • Digital Business Infrastructure</w:t>
      </w:r>
    </w:p>
    <w:p>
      <w:pPr>
        <w:spacing w:after="100"/>
      </w:pPr>
      <w:r>
        <w:rPr>
          <w:b/>
        </w:rPr>
        <w:t xml:space="preserve">About Chew Network. </w:t>
      </w:r>
      <w:r>
        <w:t>Chew Network is a food and technology company that helps participants build and grow online food brands using websites, social media, AI-assisted content, automation, customer engagement systems, affiliate infrastructure, digital monetization tools, and related business support. Participants may choose to build publicly as the face of their brand, operate behind the scenes, or use a combination of both.</w:t>
      </w:r>
    </w:p>
    <w:p>
      <w:pPr>
        <w:pStyle w:val="Heading1"/>
      </w:pPr>
      <w:r>
        <w:t>1. Participant Information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
              <w:rPr>
                <w:rFonts w:ascii="Arial" w:hAnsi="Arial"/>
                <w:b/>
                <w:sz w:val="18"/>
              </w:rPr>
              <w:t>Participant / Business Name:</w:t>
            </w:r>
          </w:p>
        </w:tc>
        <w:tc>
          <w:tcPr>
            <w:tcW w:type="dxa" w:w="5184"/>
            <w:vAlign w:val="center"/>
          </w:tcPr>
          <w:p>
            <w:r/>
            <w:r>
              <w:rPr>
                <w:rFonts w:ascii="Arial" w:hAnsi="Arial"/>
                <w:b w:val="0"/>
                <w:sz w:val="18"/>
              </w:rPr>
              <w:t>________________________________________</w:t>
            </w:r>
          </w:p>
        </w:tc>
      </w:tr>
      <w:tr>
        <w:tc>
          <w:tcPr>
            <w:tcW w:type="dxa" w:w="5184"/>
            <w:vAlign w:val="center"/>
          </w:tcPr>
          <w:p>
            <w:r/>
            <w:r>
              <w:rPr>
                <w:rFonts w:ascii="Arial" w:hAnsi="Arial"/>
                <w:b/>
                <w:sz w:val="18"/>
              </w:rPr>
              <w:t>Phone:</w:t>
            </w:r>
          </w:p>
        </w:tc>
        <w:tc>
          <w:tcPr>
            <w:tcW w:type="dxa" w:w="5184"/>
            <w:vAlign w:val="center"/>
          </w:tcPr>
          <w:p>
            <w:r/>
            <w:r>
              <w:rPr>
                <w:rFonts w:ascii="Arial" w:hAnsi="Arial"/>
                <w:b w:val="0"/>
                <w:sz w:val="18"/>
              </w:rPr>
              <w:t>________________________________________</w:t>
            </w:r>
          </w:p>
        </w:tc>
      </w:tr>
      <w:tr>
        <w:tc>
          <w:tcPr>
            <w:tcW w:type="dxa" w:w="5184"/>
            <w:vAlign w:val="center"/>
          </w:tcPr>
          <w:p>
            <w:r/>
            <w:r>
              <w:rPr>
                <w:rFonts w:ascii="Arial" w:hAnsi="Arial"/>
                <w:b/>
                <w:sz w:val="18"/>
              </w:rPr>
              <w:t>Email:</w:t>
            </w:r>
          </w:p>
        </w:tc>
        <w:tc>
          <w:tcPr>
            <w:tcW w:type="dxa" w:w="5184"/>
            <w:vAlign w:val="center"/>
          </w:tcPr>
          <w:p>
            <w:r/>
            <w:r>
              <w:rPr>
                <w:rFonts w:ascii="Arial" w:hAnsi="Arial"/>
                <w:b w:val="0"/>
                <w:sz w:val="18"/>
              </w:rPr>
              <w:t>________________________________________</w:t>
            </w:r>
          </w:p>
        </w:tc>
      </w:tr>
    </w:tbl>
    <w:p>
      <w:pPr>
        <w:pStyle w:val="Heading1"/>
      </w:pPr>
      <w:r>
        <w:t>2. Payment &amp; Processing</w:t>
      </w:r>
    </w:p>
    <w:p>
      <w:r>
        <w:rPr>
          <w:b/>
        </w:rPr>
        <w:t xml:space="preserve">Payment Accepted By / Processing Partner: </w:t>
      </w:r>
      <w:r>
        <w:t>____________________________________________</w:t>
      </w:r>
    </w:p>
    <w:p>
      <w:pPr>
        <w:spacing w:after="60"/>
      </w:pPr>
      <w:r>
        <w:rPr>
          <w:b/>
        </w:rPr>
        <w:t>Amount Paid: $</w:t>
      </w:r>
      <w:r>
        <w:t xml:space="preserve">________________    </w:t>
      </w:r>
      <w:r>
        <w:rPr>
          <w:b/>
        </w:rPr>
        <w:t xml:space="preserve">Payment Date: </w:t>
      </w:r>
      <w:r>
        <w:t xml:space="preserve">________________    </w:t>
      </w:r>
      <w:r>
        <w:rPr>
          <w:b/>
        </w:rPr>
        <w:t xml:space="preserve">Transaction / Reference #: </w:t>
      </w:r>
      <w:r>
        <w:t>________________</w:t>
      </w:r>
    </w:p>
    <w:p>
      <w:pPr>
        <w:spacing w:after="100"/>
      </w:pPr>
      <w:r>
        <w:rPr>
          <w:sz w:val="17"/>
        </w:rPr>
        <w:t>Authorized Processing Notice: Chew Network may accept payment through authorized third-party processing partners that operate as part of Chew Network's merchant operations. A payment processed by an authorized partner is treated as payment toward the Chew Network program or transaction identified in this agreement, subject to the applicable processor terms and final payment confirmation.</w:t>
      </w:r>
    </w:p>
    <w:p>
      <w:pPr>
        <w:pStyle w:val="Heading1"/>
      </w:pPr>
      <w:r>
        <w:t>2A. Payment Status &amp; Installment Terms</w:t>
      </w:r>
    </w:p>
    <w:p>
      <w:r>
        <w:t>Payment Status: ☐ Paid in Full   ☐ Partial Payment / Installment Plan   ☐ Other: __________________________</w:t>
      </w:r>
    </w:p>
    <w:p>
      <w:r>
        <w:t>Total Contract / Program Price: $________________   Amount Paid Today: $________________   Balance Remaining: $________________</w:t>
      </w:r>
    </w:p>
    <w:p>
      <w:r>
        <w:t>Payment Method / Option: ☐ One-Time Payment   ☐ Monthly   ☐ Other Installment Schedule: __________________________</w:t>
      </w:r>
    </w:p>
    <w:p>
      <w:r>
        <w:t>Monthly / Installment Amount: $________________   Expected Final Payment Date: __________________</w:t>
      </w:r>
    </w:p>
    <w:p>
      <w:r>
        <w:t>Remaining Payment Dates (complete only when six or fewer scheduled payments remain):</w:t>
      </w:r>
    </w:p>
    <w:p>
      <w:r>
        <w:t>Payment 1: Due Date __________________   Amount $________________   ☐ N/A</w:t>
      </w:r>
    </w:p>
    <w:p>
      <w:r>
        <w:t>Payment 2: Due Date __________________   Amount $________________   ☐ N/A</w:t>
      </w:r>
    </w:p>
    <w:p>
      <w:r>
        <w:t>Payment 3: Due Date __________________   Amount $________________   ☐ N/A</w:t>
      </w:r>
    </w:p>
    <w:p>
      <w:r>
        <w:t>Payment 4: Due Date __________________   Amount $________________   ☐ N/A</w:t>
      </w:r>
    </w:p>
    <w:p>
      <w:r>
        <w:t>Payment 5: Due Date __________________   Amount $________________   ☐ N/A</w:t>
      </w:r>
    </w:p>
    <w:p>
      <w:r>
        <w:t>Payment 6: Due Date __________________   Amount $________________   ☐ N/A</w:t>
      </w:r>
    </w:p>
    <w:p>
      <w:r>
        <w:t>Unless otherwise stated in a signed writing, partial payment does not reduce or alter the participant's obligation to pay the remaining agreed balance. Payment processing remains subject to the authorized processing-partner terms and final payment confirmation.</w:t>
      </w:r>
    </w:p>
    <w:p>
      <w:pPr>
        <w:pStyle w:val="Heading1"/>
      </w:pPr>
      <w:r>
        <w:t>3. Brand Approach</w:t>
      </w:r>
    </w:p>
    <w:p>
      <w:pPr>
        <w:spacing w:after="40"/>
      </w:pPr>
      <w:r>
        <w:rPr>
          <w:rFonts w:ascii="Arial" w:hAnsi="Arial"/>
          <w:sz w:val="19"/>
        </w:rPr>
        <w:t>☐ BEHIND THE SCENES — Participant owns/builds the brand without being required to become its public face.</w:t>
      </w:r>
    </w:p>
    <w:p>
      <w:pPr>
        <w:spacing w:after="40"/>
      </w:pPr>
      <w:r>
        <w:rPr>
          <w:rFonts w:ascii="Arial" w:hAnsi="Arial"/>
          <w:sz w:val="19"/>
        </w:rPr>
        <w:t>☐ YOU ARE THE BRAND — Participant is positioned as the public face and personality of the brand.</w:t>
      </w:r>
    </w:p>
    <w:p>
      <w:pPr>
        <w:spacing w:after="40"/>
      </w:pPr>
      <w:r>
        <w:rPr>
          <w:rFonts w:ascii="Arial" w:hAnsi="Arial"/>
          <w:sz w:val="19"/>
        </w:rPr>
        <w:t>☐ BOTH — A combination of personal-brand and behind-the-scenes business development.</w:t>
      </w:r>
    </w:p>
    <w:p>
      <w:pPr>
        <w:pStyle w:val="Heading1"/>
      </w:pPr>
      <w:r>
        <w:t>4. Audience &amp; Target Subscriber Goal</w:t>
      </w:r>
    </w:p>
    <w:p>
      <w:r>
        <w:rPr>
          <w:b/>
        </w:rPr>
        <w:t xml:space="preserve">Target Subscribers / Followers Across Selected Platforms: </w:t>
      </w:r>
      <w:r>
        <w:t>____________________________</w:t>
      </w:r>
    </w:p>
    <w:p>
      <w:pPr>
        <w:spacing w:after="40"/>
      </w:pPr>
      <w:r>
        <w:rPr>
          <w:b/>
        </w:rPr>
        <w:t xml:space="preserve">Social Platforms Selected: </w:t>
      </w:r>
      <w:r>
        <w:t>☐ 1 Platform   ☐ 2 Platforms   ☐ 3 Platforms   ☐ 4 Platforms   ☐ 5 Platforms   ☐ 5+ Platforms</w:t>
      </w:r>
    </w:p>
    <w:p>
      <w:pPr>
        <w:spacing w:after="80"/>
      </w:pPr>
      <w:r>
        <w:rPr>
          <w:b/>
        </w:rPr>
        <w:t xml:space="preserve">Platforms: </w:t>
      </w:r>
      <w:r>
        <w:t>☐ Instagram   ☐ TikTok   ☐ YouTube   ☐ Facebook   ☐ Pinterest   ☐ Other: __________________</w:t>
      </w:r>
    </w:p>
    <w:p>
      <w:pPr>
        <w:pStyle w:val="Heading1"/>
      </w:pPr>
      <w:r>
        <w:t>5. Digital Business Buildout</w:t>
      </w:r>
    </w:p>
    <w:p>
      <w:pPr>
        <w:spacing w:after="40"/>
      </w:pPr>
      <w:r>
        <w:rPr>
          <w:rFonts w:ascii="Arial" w:hAnsi="Arial"/>
          <w:sz w:val="19"/>
        </w:rPr>
        <w:t>☐ Website — Included / selected scope: ________________________________________________</w:t>
      </w:r>
    </w:p>
    <w:p>
      <w:pPr>
        <w:spacing w:after="40"/>
      </w:pPr>
      <w:r>
        <w:rPr>
          <w:rFonts w:ascii="Arial" w:hAnsi="Arial"/>
          <w:sz w:val="19"/>
        </w:rPr>
        <w:t>☐ AI Logo Creation</w:t>
      </w:r>
    </w:p>
    <w:p>
      <w:pPr>
        <w:spacing w:after="40"/>
      </w:pPr>
      <w:r>
        <w:rPr>
          <w:rFonts w:ascii="Arial" w:hAnsi="Arial"/>
          <w:sz w:val="19"/>
        </w:rPr>
        <w:t>☐ AI Email Automation</w:t>
      </w:r>
    </w:p>
    <w:p>
      <w:pPr>
        <w:spacing w:after="40"/>
      </w:pPr>
      <w:r>
        <w:rPr>
          <w:rFonts w:ascii="Arial" w:hAnsi="Arial"/>
          <w:sz w:val="19"/>
        </w:rPr>
        <w:t>☐ AI Response Automation for qualifying direct messages and/or comments from published content</w:t>
      </w:r>
    </w:p>
    <w:p>
      <w:pPr>
        <w:spacing w:after="40"/>
      </w:pPr>
      <w:r>
        <w:rPr>
          <w:rFonts w:ascii="Arial" w:hAnsi="Arial"/>
          <w:sz w:val="19"/>
        </w:rPr>
        <w:t>☐ Customer Records / basic customer database setup</w:t>
      </w:r>
    </w:p>
    <w:p>
      <w:pPr>
        <w:spacing w:after="40"/>
      </w:pPr>
      <w:r>
        <w:rPr>
          <w:rFonts w:ascii="Arial" w:hAnsi="Arial"/>
          <w:sz w:val="19"/>
        </w:rPr>
        <w:t>☐ Affiliate Program &amp; Affiliate Product Setup</w:t>
      </w:r>
    </w:p>
    <w:p>
      <w:pPr>
        <w:spacing w:after="40"/>
      </w:pPr>
      <w:r>
        <w:rPr>
          <w:rFonts w:ascii="Arial" w:hAnsi="Arial"/>
          <w:sz w:val="19"/>
        </w:rPr>
        <w:t>☐ Brand positioning and basic visual identity</w:t>
      </w:r>
    </w:p>
    <w:p>
      <w:pPr>
        <w:spacing w:after="40"/>
      </w:pPr>
      <w:r>
        <w:rPr>
          <w:rFonts w:ascii="Arial" w:hAnsi="Arial"/>
          <w:sz w:val="19"/>
        </w:rPr>
        <w:t>☐ Monetization Roadmap — identifies potential digital revenue channels for the participant's brand</w:t>
      </w:r>
    </w:p>
    <w:p>
      <w:pPr>
        <w:spacing w:after="40"/>
      </w:pPr>
      <w:r>
        <w:rPr>
          <w:rFonts w:ascii="Arial" w:hAnsi="Arial"/>
          <w:sz w:val="19"/>
        </w:rPr>
        <w:t>☐ Launch / implementation roadmap</w:t>
      </w:r>
    </w:p>
    <w:p>
      <w:pPr>
        <w:pStyle w:val="Heading1"/>
      </w:pPr>
      <w:r>
        <w:t>6. AI Content Publishing Plan</w:t>
      </w:r>
    </w:p>
    <w:p>
      <w:r>
        <w:rPr>
          <w:b/>
        </w:rPr>
        <w:t xml:space="preserve">Selected AI-Assisted Content Frequency: </w:t>
      </w:r>
      <w:r>
        <w:t>☐ 1x/week   ☐ 3x/week   ☐ 5x/week   ☐ 7x/week   ☐ 10x/week   ☐ 14x/week   ☐ 20x/week</w:t>
      </w:r>
    </w:p>
    <w:p>
      <w:pPr>
        <w:spacing w:after="80"/>
      </w:pPr>
      <w:r>
        <w:rPr>
          <w:b/>
        </w:rPr>
        <w:t xml:space="preserve">Daily Preference: </w:t>
      </w:r>
      <w:r>
        <w:t>☐ 1x/day   ☐ 2x/day   ☐ Other: __________________</w:t>
      </w:r>
    </w:p>
    <w:p>
      <w:r>
        <w:rPr>
          <w:sz w:val="17"/>
        </w:rPr>
        <w:t>Content may include AI-assisted captions, food-related posts, educational content, product/affiliate content, audience-engagement content, email content, and other material appropriate to the selected brand strategy.</w:t>
      </w:r>
    </w:p>
    <w:p>
      <w:pPr>
        <w:pStyle w:val="Heading1"/>
      </w:pPr>
      <w:r>
        <w:t>7. Monetization Channels</w:t>
      </w:r>
    </w:p>
    <w:p>
      <w:pPr>
        <w:spacing w:after="60"/>
      </w:pPr>
      <w:r>
        <w:rPr>
          <w:b/>
        </w:rPr>
        <w:t>Chew Network may help establish or prepare the selected brand for the following potential revenue channels:</w:t>
      </w:r>
    </w:p>
    <w:p>
      <w:pPr>
        <w:spacing w:after="40"/>
      </w:pPr>
      <w:r>
        <w:rPr>
          <w:rFonts w:ascii="Arial" w:hAnsi="Arial"/>
          <w:sz w:val="19"/>
        </w:rPr>
        <w:t>☐ Affiliate marketing / qualifying product recommendations</w:t>
      </w:r>
    </w:p>
    <w:p>
      <w:pPr>
        <w:spacing w:after="40"/>
      </w:pPr>
      <w:r>
        <w:rPr>
          <w:rFonts w:ascii="Arial" w:hAnsi="Arial"/>
          <w:sz w:val="19"/>
        </w:rPr>
        <w:t>☐ Digital products, guides, recipe collections, meal plans or educational downloads</w:t>
      </w:r>
    </w:p>
    <w:p>
      <w:pPr>
        <w:spacing w:after="40"/>
      </w:pPr>
      <w:r>
        <w:rPr>
          <w:rFonts w:ascii="Arial" w:hAnsi="Arial"/>
          <w:sz w:val="19"/>
        </w:rPr>
        <w:t>☐ Email marketing and audience offers</w:t>
      </w:r>
    </w:p>
    <w:p>
      <w:pPr>
        <w:spacing w:after="40"/>
      </w:pPr>
      <w:r>
        <w:rPr>
          <w:rFonts w:ascii="Arial" w:hAnsi="Arial"/>
          <w:sz w:val="19"/>
        </w:rPr>
        <w:t>☐ Social-media monetization opportunities where platform eligibility requirements are met</w:t>
      </w:r>
    </w:p>
    <w:p>
      <w:pPr>
        <w:spacing w:after="40"/>
      </w:pPr>
      <w:r>
        <w:rPr>
          <w:rFonts w:ascii="Arial" w:hAnsi="Arial"/>
          <w:sz w:val="19"/>
        </w:rPr>
        <w:t>☐ Brand partnerships / sponsorship readiness</w:t>
      </w:r>
    </w:p>
    <w:p>
      <w:pPr>
        <w:spacing w:after="40"/>
      </w:pPr>
      <w:r>
        <w:rPr>
          <w:rFonts w:ascii="Arial" w:hAnsi="Arial"/>
          <w:sz w:val="19"/>
        </w:rPr>
        <w:t>☐ Memberships, subscriptions or premium digital content</w:t>
      </w:r>
    </w:p>
    <w:p>
      <w:pPr>
        <w:spacing w:after="40"/>
      </w:pPr>
      <w:r>
        <w:rPr>
          <w:rFonts w:ascii="Arial" w:hAnsi="Arial"/>
          <w:sz w:val="19"/>
        </w:rPr>
        <w:t>☐ Other: __________________________________________________________________________</w:t>
      </w:r>
    </w:p>
    <w:p>
      <w:pPr>
        <w:pStyle w:val="Heading1"/>
      </w:pPr>
      <w:r>
        <w:t>7A. Private 24-Hour Partner &amp; Investor Hotline</w:t>
      </w:r>
    </w:p>
    <w:p>
      <w:r>
        <w:t>Chew Network may provide business partners, investors, and participants using Chew Network to build their brands with access to a private 24-hour support hotline for questions relating to their program, brand support, account, or applicable ownership communications. The hotline number is confidential and is provided solely for authorized use.</w:t>
      </w:r>
    </w:p>
    <w:p>
      <w:r>
        <w:t>The participant agrees not to publish, post, distribute, sell, transfer, or otherwise disclose the private hotline number on social media, websites, public forums, group chats, or other public or unauthorized channels. Chew Network may change or revoke hotline credentials when reasonably necessary to protect the service or its users.</w:t>
      </w:r>
    </w:p>
    <w:p>
      <w:pPr>
        <w:pStyle w:val="Heading1"/>
      </w:pPr>
      <w:r>
        <w:t>8. Ownership Interest (Complete Only If Applicable)</w:t>
      </w:r>
    </w:p>
    <w:p>
      <w:r>
        <w:rPr>
          <w:i/>
          <w:sz w:val="17"/>
        </w:rPr>
        <w:t>This section is intended to record the commercial terms selected by the parties. Any actual equity, security, ownership interest, profit participation, voting rights, transfer restrictions, distributions, or other investor rights must be defined in the applicable definitive legal documents.</w:t>
      </w:r>
    </w:p>
    <w:p>
      <w:r>
        <w:rPr>
          <w:b/>
        </w:rPr>
        <w:t xml:space="preserve">Ownership Structure: </w:t>
      </w:r>
      <w:r>
        <w:t>☐ Ownership Pool   ☐ Single Owner / Direct Interest   ☐ Not Applicable</w:t>
      </w:r>
    </w:p>
    <w:p>
      <w:r>
        <w:rPr>
          <w:b/>
        </w:rPr>
        <w:t xml:space="preserve">Total Company / Applicable Ownership Percentage Referenced: </w:t>
      </w:r>
      <w:r>
        <w:t>________ %</w:t>
      </w:r>
    </w:p>
    <w:p>
      <w:r>
        <w:rPr>
          <w:b/>
        </w:rPr>
        <w:t xml:space="preserve">Participant's Allocated Interest (if applicable): </w:t>
      </w:r>
      <w:r>
        <w:t>________ % / Units: __________</w:t>
      </w:r>
    </w:p>
    <w:p>
      <w:r>
        <w:rPr>
          <w:b/>
        </w:rPr>
        <w:t>Valuation Cap (if applicable): $</w:t>
      </w:r>
      <w:r>
        <w:t>________________________________</w:t>
      </w:r>
    </w:p>
    <w:p>
      <w:r>
        <w:rPr>
          <w:b/>
        </w:rPr>
        <w:t xml:space="preserve">Applicable Entity / Asset: </w:t>
      </w:r>
      <w:r>
        <w:t>________________________________________________________</w:t>
      </w:r>
    </w:p>
    <w:p>
      <w:pPr>
        <w:pStyle w:val="Heading1"/>
      </w:pPr>
      <w:r>
        <w:t>8A. Founding Owner Materials &amp; Communications (If Applicable)</w:t>
      </w:r>
    </w:p>
    <w:p>
      <w:r>
        <w:t>Where the participant is admitted as a Founding Owner under the applicable definitive ownership documents, the participant is intended to receive an Official Investment Certificate, a unique Investor ID Number, a Founder's Welcome Kit, quarterly investor reports, regular email and text updates, and access to the private Investor Hotline, subject to the terms, eligibility requirements, and limitations contained in the definitive legal documents.</w:t>
      </w:r>
    </w:p>
    <w:p>
      <w:pPr>
        <w:pStyle w:val="Heading1"/>
      </w:pPr>
      <w:r>
        <w:t>8B. Beneficiary / Successor Designation (If Applicable)</w:t>
      </w:r>
    </w:p>
    <w:p>
      <w:r>
        <w:t>Primary Beneficiary / Successor Name: _________________________________________________</w:t>
      </w:r>
    </w:p>
    <w:p>
      <w:r>
        <w:t>Relationship: __________________   Phone: __________________   Email: ______________________________</w:t>
      </w:r>
    </w:p>
    <w:p>
      <w:r>
        <w:t>Address: __________________________________________________________________________________</w:t>
      </w:r>
    </w:p>
    <w:p>
      <w:r>
        <w:t>The participant may designate the person above as an intended beneficiary or successor with respect to eligible ownership interests or transferable brand/business rights. Any transfer at death or other succession is subject to the applicable operating agreement, equity or ownership documents, transfer restrictions, applicable law, estate requirements, and Chew Network's records. This designation does not override any controlling legal document or law.</w:t>
      </w:r>
    </w:p>
    <w:p>
      <w:r>
        <w:t>Rights Agreed Today: The participant's rights to the selected services, brand buildout, and any separately documented ownership interest are governed by this agreement together with all incorporated scopes of work, payment terms, and definitive ownership documents executed by the parties.</w:t>
      </w:r>
    </w:p>
    <w:p>
      <w:pPr>
        <w:pStyle w:val="Heading1"/>
      </w:pPr>
      <w:r>
        <w:rPr>
          <w:rFonts w:ascii="Arial" w:hAnsi="Arial"/>
        </w:rPr>
        <w:t>8C. Implementation &amp; 90-Day Development Period</w:t>
      </w:r>
    </w:p>
    <w:p>
      <w:r>
        <w:rPr>
          <w:rFonts w:ascii="Arial" w:hAnsi="Arial"/>
          <w:sz w:val="19"/>
        </w:rPr>
        <w:t>Chew Network will begin implementation promptly following execution of this agreement, confirmation of the applicable payment arrangement, and receipt of the information, approvals, credentials, and materials reasonably required from the participant. The participant understands and agrees that the initial development and setup period may require up to ninety (90) calendar days from the contract date.</w:t>
      </w:r>
    </w:p>
    <w:p>
      <w:r>
        <w:rPr>
          <w:rFonts w:ascii="Arial" w:hAnsi="Arial"/>
          <w:sz w:val="19"/>
        </w:rPr>
        <w:t>During this development period, Chew Network may perform or coordinate the services selected under this agreement, including brand and logo development, website design and setup, selected social-media account setup, AI-assisted content and automation configuration, affiliate-program application and setup assistance, customer-record systems, initial audience-building activities, and preparation or distribution of applicable press releases or channel-related promotional materials.</w:t>
      </w:r>
    </w:p>
    <w:p>
      <w:r>
        <w:rPr>
          <w:rFonts w:ascii="Arial" w:hAnsi="Arial"/>
          <w:sz w:val="19"/>
        </w:rPr>
        <w:t>Chew Network may begin content, promotional, press-release, social, affiliate, website, and audience-development activities as soon as reasonably practicable; however, the participant should allow up to ninety (90) days from the contract date for the initial buildout to be completed and for measurable activity or early results to begin appearing. The ninety-day period is an implementation and development period and is not a guarantee that any specific audience size, affiliate approval, platform approval, traffic level, media placement, revenue, profit, ranking, engagement level, or other business result will occur within that period.</w:t>
      </w:r>
    </w:p>
    <w:p>
      <w:r>
        <w:rPr>
          <w:rFonts w:ascii="Arial" w:hAnsi="Arial"/>
          <w:sz w:val="19"/>
        </w:rPr>
        <w:t>Timelines may be reasonably extended when delays result from participant approvals or missing materials, third-party platform or affiliate review, processor or app-store requirements, technical issues outside Chew Network's reasonable control, or other circumstances that prevent timely implementation. Chew Network will continue to use commercially reasonable efforts to complete the selected initial setup and launch activities.</w:t>
      </w:r>
    </w:p>
    <w:p>
      <w:pPr>
        <w:pStyle w:val="Heading1"/>
      </w:pPr>
      <w:r>
        <w:t>9. Program Scope &amp; Important Understandings</w:t>
      </w:r>
    </w:p>
    <w:p>
      <w:pPr>
        <w:spacing w:after="40"/>
      </w:pPr>
      <w:r>
        <w:rPr>
          <w:rFonts w:ascii="Arial" w:hAnsi="Arial"/>
          <w:sz w:val="19"/>
        </w:rPr>
        <w:t>☐ Specific deliverables, timelines, platform selections, and content quantities are determined by the selections in this agreement and any attached scope of work.</w:t>
      </w:r>
    </w:p>
    <w:p>
      <w:pPr>
        <w:spacing w:after="40"/>
      </w:pPr>
      <w:r>
        <w:rPr>
          <w:rFonts w:ascii="Arial" w:hAnsi="Arial"/>
          <w:sz w:val="19"/>
        </w:rPr>
        <w:t>☐ Third-party platforms, affiliate programs, social networks, payment processors, and app stores maintain their own eligibility, approval, fee, and policy requirements.</w:t>
      </w:r>
    </w:p>
    <w:p>
      <w:pPr>
        <w:spacing w:after="40"/>
      </w:pPr>
      <w:r>
        <w:rPr>
          <w:rFonts w:ascii="Arial" w:hAnsi="Arial"/>
          <w:sz w:val="19"/>
        </w:rPr>
        <w:t>☐ Audience growth, affiliate acceptance, monetization eligibility, revenue, profit, valuation, and business outcomes are not guaranteed.</w:t>
      </w:r>
    </w:p>
    <w:p>
      <w:pPr>
        <w:spacing w:after="40"/>
      </w:pPr>
      <w:r>
        <w:rPr>
          <w:rFonts w:ascii="Arial" w:hAnsi="Arial"/>
          <w:sz w:val="19"/>
        </w:rPr>
        <w:t>☐ Participant remains responsible for providing requested approvals, information, access, and cooperation needed for implementation.</w:t>
      </w:r>
    </w:p>
    <w:p>
      <w:pPr>
        <w:spacing w:after="40"/>
      </w:pPr>
      <w:r>
        <w:rPr>
          <w:rFonts w:ascii="Arial" w:hAnsi="Arial"/>
          <w:sz w:val="19"/>
        </w:rPr>
        <w:t>☐ Any ownership or investment component is subject to separate definitive legal documentation and applicable law.</w:t>
      </w:r>
    </w:p>
    <w:p>
      <w:pPr>
        <w:pStyle w:val="Heading1"/>
      </w:pPr>
      <w:r>
        <w:t>9A. Brand Protection, Confidentiality &amp; Non-Disparagement</w:t>
      </w:r>
    </w:p>
    <w:p>
      <w:r>
        <w:t>The participant agrees not to knowingly publish or communicate false, defamatory, malicious, or unlawfully disparaging statements concerning Chew Network, its brands, personnel, products, authorized processing partners, or affiliated operations. Nothing in this provision prohibits truthful statements, good-faith complaints, legally protected reviews or opinions, reports to regulators or law enforcement, testimony, whistleblowing, or any other communication protected by law.</w:t>
      </w:r>
    </w:p>
    <w:p>
      <w:r>
        <w:t>A material and documented breach of this provision may constitute a material breach of this agreement. Subject to applicable law, notice and any required opportunity to cure, Chew Network may suspend or discontinue services and may terminate access to contractual brand benefits that are expressly conditioned on continued compliance. Any vested ownership, equity, investment, or property rights may be forfeited, repurchased, cancelled, or transferred only to the extent expressly permitted by the controlling definitive legal documents and applicable law.</w:t>
      </w:r>
    </w:p>
    <w:p>
      <w:r>
        <w:t>Chew Network reserves all lawful remedies for proven misconduct, including recovery of actual damages, reasonable legal fees and costs where recoverable by contract or law, and demonstrable business losses proven with reasonable certainty. No party is entitled under this clause to speculative, hypothetical, or unsupported projected losses. The parties agree that any remedy must be consistent with applicable law and the definitive agreements governing the relationship.</w:t>
      </w:r>
    </w:p>
    <w:p>
      <w:pPr>
        <w:pStyle w:val="Heading1"/>
      </w:pPr>
      <w:r>
        <w:t>10. Special Instructions / Custom Scope</w:t>
      </w:r>
    </w:p>
    <w:p>
      <w:pPr>
        <w:spacing w:after="20"/>
      </w:pPr>
      <w:r>
        <w:t>________________________________________________________________________________________</w:t>
      </w:r>
    </w:p>
    <w:p>
      <w:pPr>
        <w:spacing w:after="20"/>
      </w:pPr>
      <w:r>
        <w:t>________________________________________________________________________________________</w:t>
      </w:r>
    </w:p>
    <w:p>
      <w:pPr>
        <w:spacing w:after="20"/>
      </w:pPr>
      <w:r>
        <w:t>________________________________________________________________________________________</w:t>
      </w:r>
    </w:p>
    <w:p>
      <w:pPr>
        <w:spacing w:after="20"/>
      </w:pPr>
      <w:r>
        <w:t>________________________________________________________________________________________</w:t>
      </w:r>
    </w:p>
    <w:p>
      <w:pPr>
        <w:pStyle w:val="Heading1"/>
      </w:pPr>
      <w:r>
        <w:t>11. Acknowledgment &amp; Signatures</w:t>
      </w:r>
    </w:p>
    <w:p>
      <w:r>
        <w:rPr>
          <w:rFonts w:ascii="Arial" w:hAnsi="Arial"/>
          <w:sz w:val="19"/>
        </w:rPr>
        <w:t>By signing below, the participant confirms the selections above accurately reflect the requested Chew Network program configuration and acknowledges the payment terms, private-hotline requirements, brand-protection provisions, beneficiary designation (if any), ownership provisions, and the initial implementation and up-to-90-day development period applicable to the relationship, subject to any attached scope of work, processor terms, and definitive legal agreements.</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
              <w:rPr>
                <w:rFonts w:ascii="Arial" w:hAnsi="Arial"/>
                <w:b/>
                <w:sz w:val="18"/>
              </w:rPr>
              <w:t>Participant Name: ______________________________</w:t>
            </w:r>
          </w:p>
        </w:tc>
        <w:tc>
          <w:tcPr>
            <w:tcW w:type="dxa" w:w="5184"/>
            <w:vAlign w:val="center"/>
          </w:tcPr>
          <w:p>
            <w:r/>
            <w:r>
              <w:rPr>
                <w:rFonts w:ascii="Arial" w:hAnsi="Arial"/>
                <w:b/>
                <w:sz w:val="18"/>
              </w:rPr>
              <w:t>Chew Network Representative: ______________________________</w:t>
            </w:r>
          </w:p>
        </w:tc>
      </w:tr>
      <w:tr>
        <w:tc>
          <w:tcPr>
            <w:tcW w:type="dxa" w:w="5184"/>
            <w:vAlign w:val="center"/>
          </w:tcPr>
          <w:p>
            <w:r/>
            <w:r>
              <w:rPr>
                <w:rFonts w:ascii="Arial" w:hAnsi="Arial"/>
                <w:b w:val="0"/>
                <w:sz w:val="18"/>
              </w:rPr>
              <w:t>Signature: ______________________________</w:t>
            </w:r>
          </w:p>
        </w:tc>
        <w:tc>
          <w:tcPr>
            <w:tcW w:type="dxa" w:w="5184"/>
            <w:vAlign w:val="center"/>
          </w:tcPr>
          <w:p>
            <w:r/>
            <w:r>
              <w:rPr>
                <w:rFonts w:ascii="Arial" w:hAnsi="Arial"/>
                <w:b w:val="0"/>
                <w:sz w:val="18"/>
              </w:rPr>
              <w:t>Signature: ______________________________</w:t>
            </w:r>
          </w:p>
        </w:tc>
      </w:tr>
      <w:tr>
        <w:tc>
          <w:tcPr>
            <w:tcW w:type="dxa" w:w="5184"/>
            <w:vAlign w:val="center"/>
          </w:tcPr>
          <w:p>
            <w:r/>
            <w:r>
              <w:rPr>
                <w:rFonts w:ascii="Arial" w:hAnsi="Arial"/>
                <w:b w:val="0"/>
                <w:sz w:val="18"/>
              </w:rPr>
              <w:t>Date: ______________________________</w:t>
            </w:r>
          </w:p>
        </w:tc>
        <w:tc>
          <w:tcPr>
            <w:tcW w:type="dxa" w:w="5184"/>
            <w:vAlign w:val="center"/>
          </w:tcPr>
          <w:p>
            <w:r/>
            <w:r>
              <w:rPr>
                <w:rFonts w:ascii="Arial" w:hAnsi="Arial"/>
                <w:b w:val="0"/>
                <w:sz w:val="18"/>
              </w:rPr>
              <w:t>Date: ______________________________</w:t>
            </w:r>
          </w:p>
        </w:tc>
      </w:tr>
      <w:tr>
        <w:tc>
          <w:tcPr>
            <w:tcW w:type="dxa" w:w="5184"/>
            <w:vAlign w:val="center"/>
          </w:tcPr>
          <w:p>
            <w:r/>
            <w:r>
              <w:rPr>
                <w:rFonts w:ascii="Arial" w:hAnsi="Arial"/>
                <w:b w:val="0"/>
                <w:sz w:val="18"/>
              </w:rPr>
              <w:t>Participant ID / Member #: ______________________________</w:t>
            </w:r>
          </w:p>
        </w:tc>
        <w:tc>
          <w:tcPr>
            <w:tcW w:type="dxa" w:w="5184"/>
            <w:vAlign w:val="center"/>
          </w:tcPr>
          <w:p>
            <w:r/>
            <w:r>
              <w:rPr>
                <w:rFonts w:ascii="Arial" w:hAnsi="Arial"/>
                <w:b w:val="0"/>
                <w:sz w:val="18"/>
              </w:rPr>
              <w:t>Agreement / Order #: ______________________________</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Chew Network • Participation &amp; Service Selection Agreement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