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pStyle w:val="Title"/>
        <w:keepNext w:val="on"/>
        <w:jc w:val="left"/>
        <w:rPr/>
      </w:pPr>
      <w:r>
        <w:t>Plan práctico de avance para la integración web con BDP</w:t>
      </w:r>
    </w:p>
    <w:p w14:paraId="00000002">
      <w:pPr>
        <w:spacing w:after="260"/>
        <w:rPr/>
      </w:pPr>
      <w:r>
        <w:rPr>
          <w:b/>
          <w:sz w:val="24"/>
        </w:rPr>
        <w:t>Guía conjunta para Guillermo García Sáez y Wan Asley Crespo Navarro</w:t>
      </w:r>
    </w:p>
    <w:p w14:paraId="00000003">
      <w:pPr>
        <w:spacing w:after="220"/>
        <w:rPr/>
      </w:pPr>
      <w:r>
        <w:rPr>
          <w:b/>
        </w:rPr>
        <w:t xml:space="preserve">Objetivo. </w:t>
      </w:r>
      <w:r>
        <w:t>Terminar la integración con seguridad, centrando el esfuerzo en los problemas que pueden afectar a comandas, cobros, facturas, stock o sincronización. Los recuentos, etiquetas y formalismos del informe no deben detener el trabajo.</w:t>
      </w:r>
    </w:p>
    <w:p w14:paraId="00000004">
      <w:pPr>
        <w:spacing w:after="320"/>
        <w:rPr/>
      </w:pPr>
      <w:r>
        <w:rPr>
          <w:b/>
        </w:rPr>
        <w:t xml:space="preserve">Decisión operativa. </w:t>
      </w:r>
      <w:r>
        <w:t>Wan puede seguir desarrollando y probando en su entorno local. El restaurante debe continuar en solo lectura hasta superar las pruebas críticas y completar una puesta en marcha por etapas.</w:t>
      </w:r>
    </w:p>
    <w:p w14:paraId="00000005">
      <w:pPr>
        <w:pStyle w:val="Heading1"/>
        <w:keepNext w:val="on"/>
        <w:rPr/>
      </w:pPr>
      <w:r>
        <w:t>1 Responsabilidades</w:t>
      </w:r>
    </w:p>
    <w:tbl>
      <w:tblPr>
        <w:tblW w:w="0" w:type="auto"/>
        <w:jc w:val="center"/>
        <w:tblLayout w:type="fixed"/>
        <w:tblLook w:val="04A0"/>
      </w:tblPr>
      <w:tblGrid>
        <w:gridCol w:w="1800"/>
        <w:gridCol w:w="3672"/>
        <w:gridCol w:w="4320"/>
      </w:tblGrid>
      <w:tr>
        <w:trPr>
          <w:tblHeader w:val="on"/>
        </w:trPr>
        <w:tc>
          <w:tcPr>
            <w:cnfStyle w:val="10100000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06">
            <w:pPr>
              <w:jc w:val="center"/>
              <w:rPr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cnfStyle w:val="100000000000"/>
            <w:tcW w:w="3672" w:type="dxa"/>
            <w:tcMar>
              <w:top w:w="100" w:type="dxa"/>
              <w:bottom w:w="100" w:type="dxa"/>
            </w:tcMar>
            <w:vAlign w:val="center"/>
          </w:tcPr>
          <w:p w14:paraId="00000007">
            <w:pPr>
              <w:jc w:val="center"/>
              <w:rPr/>
            </w:pPr>
            <w:r>
              <w:rPr>
                <w:b/>
                <w:color w:val="ffffff"/>
                <w:sz w:val="19"/>
              </w:rPr>
              <w:t>Se encarga de</w:t>
            </w:r>
          </w:p>
        </w:tc>
        <w:tc>
          <w:tcPr>
            <w:cnfStyle w:val="100000000000"/>
            <w:tcW w:w="4320" w:type="dxa"/>
            <w:tcMar>
              <w:top w:w="100" w:type="dxa"/>
              <w:bottom w:w="100" w:type="dxa"/>
            </w:tcMar>
            <w:vAlign w:val="center"/>
          </w:tcPr>
          <w:p w14:paraId="00000008">
            <w:pPr>
              <w:jc w:val="center"/>
              <w:rPr/>
            </w:pPr>
            <w:r>
              <w:rPr>
                <w:b/>
                <w:color w:val="ffffff"/>
                <w:sz w:val="19"/>
              </w:rPr>
              <w:t>No debe hacer</w:t>
            </w:r>
          </w:p>
        </w:tc>
      </w:tr>
      <w:tr>
        <w:trPr/>
        <w:tc>
          <w:tcPr>
            <w:cnfStyle w:val="00100010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09">
            <w:pPr>
              <w:spacing w:after="0"/>
              <w:jc w:val="center"/>
              <w:rPr/>
            </w:pPr>
            <w:r>
              <w:rPr>
                <w:b/>
                <w:sz w:val="18"/>
              </w:rPr>
              <w:t>Guillermo</w:t>
            </w:r>
          </w:p>
        </w:tc>
        <w:tc>
          <w:tcPr>
            <w:cnfStyle w:val="000000100000"/>
            <w:tcW w:w="3672" w:type="dxa"/>
            <w:tcMar>
              <w:top w:w="100" w:type="dxa"/>
              <w:bottom w:w="100" w:type="dxa"/>
            </w:tcMar>
            <w:vAlign w:val="center"/>
          </w:tcPr>
          <w:p w14:paraId="0000000A">
            <w:pPr>
              <w:spacing w:after="0"/>
              <w:rPr/>
            </w:pPr>
            <w:r>
              <w:rPr>
                <w:sz w:val="18"/>
              </w:rPr>
              <w:t>Contactar con BDP y con el distribuidor; solicitar licencias y aclaraciones; obtener del restaurante las decisiones operativas; autorizar cada etapa del piloto.</w:t>
            </w:r>
          </w:p>
        </w:tc>
        <w:tc>
          <w:tcPr>
            <w:cnfStyle w:val="000000100000"/>
            <w:tcW w:w="4320" w:type="dxa"/>
            <w:tcMar>
              <w:top w:w="100" w:type="dxa"/>
              <w:bottom w:w="100" w:type="dxa"/>
            </w:tcMar>
            <w:vAlign w:val="center"/>
          </w:tcPr>
          <w:p w14:paraId="0000000B">
            <w:pPr>
              <w:spacing w:after="0"/>
              <w:rPr/>
            </w:pPr>
            <w:r>
              <w:rPr>
                <w:sz w:val="18"/>
              </w:rPr>
              <w:t>Programar o diagnosticar el entorno local de Wan. Tampoco debe autorizar el modo automático completo de una sola vez.</w:t>
            </w:r>
          </w:p>
        </w:tc>
      </w:tr>
      <w:tr>
        <w:trPr/>
        <w:tc>
          <w:tcPr>
            <w:cnfStyle w:val="00100001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0C">
            <w:pPr>
              <w:spacing w:after="0"/>
              <w:jc w:val="center"/>
              <w:rPr/>
            </w:pPr>
            <w:r>
              <w:rPr>
                <w:b/>
                <w:sz w:val="18"/>
              </w:rPr>
              <w:t>Wan</w:t>
            </w:r>
          </w:p>
        </w:tc>
        <w:tc>
          <w:tcPr>
            <w:cnfStyle w:val="000000010000"/>
            <w:tcW w:w="3672" w:type="dxa"/>
            <w:tcMar>
              <w:top w:w="100" w:type="dxa"/>
              <w:bottom w:w="100" w:type="dxa"/>
            </w:tcMar>
            <w:vAlign w:val="center"/>
          </w:tcPr>
          <w:p w14:paraId="0000000D">
            <w:pPr>
              <w:spacing w:after="0"/>
              <w:rPr/>
            </w:pPr>
            <w:r>
              <w:rPr>
                <w:sz w:val="18"/>
              </w:rPr>
              <w:t>Implementar, probar y documentar solo las funciones críticas; enviar a Guillermo la información técnica necesaria para las consultas a BDP; preparar controles, auditoría y recuperación.</w:t>
            </w:r>
          </w:p>
        </w:tc>
        <w:tc>
          <w:tcPr>
            <w:cnfStyle w:val="000000010000"/>
            <w:tcW w:w="4320" w:type="dxa"/>
            <w:tcMar>
              <w:top w:w="100" w:type="dxa"/>
              <w:bottom w:w="100" w:type="dxa"/>
            </w:tcMar>
            <w:vAlign w:val="center"/>
          </w:tcPr>
          <w:p w14:paraId="0000000E">
            <w:pPr>
              <w:spacing w:after="0"/>
              <w:rPr/>
            </w:pPr>
            <w:r>
              <w:rPr>
                <w:sz w:val="18"/>
              </w:rPr>
              <w:t>Contactar con BDP por su cuenta, salvo que Guillermo se lo pida expresamente. Tampoco debe activar escrituras en producción sin autorización.</w:t>
            </w:r>
          </w:p>
        </w:tc>
      </w:tr>
      <w:tr>
        <w:trPr/>
        <w:tc>
          <w:tcPr>
            <w:cnfStyle w:val="00100010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0F">
            <w:pPr>
              <w:spacing w:after="0"/>
              <w:jc w:val="center"/>
              <w:rPr/>
            </w:pPr>
            <w:r>
              <w:rPr>
                <w:b/>
                <w:sz w:val="18"/>
              </w:rPr>
              <w:t>Restaurante</w:t>
            </w:r>
          </w:p>
        </w:tc>
        <w:tc>
          <w:tcPr>
            <w:cnfStyle w:val="000000100000"/>
            <w:tcW w:w="3672" w:type="dxa"/>
            <w:tcMar>
              <w:top w:w="100" w:type="dxa"/>
              <w:bottom w:w="100" w:type="dxa"/>
            </w:tcMar>
            <w:vAlign w:val="center"/>
          </w:tcPr>
          <w:p w14:paraId="00000010">
            <w:pPr>
              <w:spacing w:after="0"/>
              <w:rPr/>
            </w:pPr>
            <w:r>
              <w:rPr>
                <w:sz w:val="18"/>
              </w:rPr>
              <w:t>Confirmar qué funciones utiliza realmente, sus formas de pago, tipos de pedido, perfil de documentos y responsables para incidencias.</w:t>
            </w:r>
          </w:p>
        </w:tc>
        <w:tc>
          <w:tcPr>
            <w:cnfStyle w:val="000000100000"/>
            <w:tcW w:w="4320" w:type="dxa"/>
            <w:tcMar>
              <w:top w:w="100" w:type="dxa"/>
              <w:bottom w:w="100" w:type="dxa"/>
            </w:tcMar>
            <w:vAlign w:val="center"/>
          </w:tcPr>
          <w:p w14:paraId="00000011">
            <w:pPr>
              <w:spacing w:after="0"/>
              <w:rPr/>
            </w:pPr>
            <w:r>
              <w:rPr>
                <w:sz w:val="18"/>
              </w:rPr>
              <w:t>Decidir detalles técnicos de la API o probar cambios directamente durante el servicio sin un plan de reversión.</w:t>
            </w:r>
          </w:p>
        </w:tc>
      </w:tr>
    </w:tbl>
    <w:p w14:paraId="00000012">
      <w:pPr>
        <w:pStyle w:val="Heading1"/>
        <w:keepNext w:val="on"/>
        <w:rPr/>
      </w:pPr>
      <w:r>
        <w:t>2 Primer paso resolver las licencias</w:t>
      </w:r>
    </w:p>
    <w:p w14:paraId="00000013">
      <w:pPr>
        <w:pStyle w:val="Heading2"/>
        <w:keepNext w:val="on"/>
        <w:rPr/>
      </w:pPr>
      <w:r>
        <w:t>2.1 Qué debe hacer Guillermo</w:t>
      </w:r>
    </w:p>
    <w:p w14:paraId="00000014">
      <w:r>
        <w:rPr>
          <w:b/>
        </w:rPr>
        <w:t>Guillermo debe pedir a BDP dos confirmaciones diferentes:</w:t>
      </w:r>
    </w:p>
    <w:p w14:paraId="00000015">
      <w:pPr>
        <w:pStyle w:val="ListBullet"/>
        <w:spacing w:after="60"/>
        <w:ind w:left="346" w:hanging="202"/>
        <w:rPr/>
      </w:pPr>
      <w:r>
        <w:t>Entorno de Wan: una WebLinkRestAPI completa para desarrollo, sin las limitaciones de la edición gratuita.</w:t>
      </w:r>
    </w:p>
    <w:p w14:paraId="00000016">
      <w:pPr>
        <w:pStyle w:val="Heading2"/>
        <w:keepNext w:val="on"/>
        <w:rPr/>
      </w:pPr>
      <w:r>
        <w:t>2.3 Qué debe enviar Wan a Guillermo si BDP pide detalles</w:t>
      </w:r>
    </w:p>
    <w:p w14:paraId="00000017">
      <w:pPr>
        <w:pStyle w:val="ListBullet"/>
        <w:spacing w:after="60"/>
        <w:ind w:left="346" w:hanging="202"/>
        <w:rPr/>
      </w:pPr>
      <w:r>
        <w:t>Función o endpoint que falla.</w:t>
      </w:r>
    </w:p>
    <w:p w14:paraId="00000018">
      <w:pPr>
        <w:pStyle w:val="ListBullet"/>
        <w:spacing w:after="60"/>
        <w:ind w:left="346" w:hanging="202"/>
        <w:rPr/>
      </w:pPr>
      <w:r>
        <w:t>Versión de BDP y resultado completo de GetApplicationVersion para la aplicación 84.</w:t>
      </w:r>
    </w:p>
    <w:p w14:paraId="00000019">
      <w:pPr>
        <w:pStyle w:val="ListBullet"/>
        <w:spacing w:after="60"/>
        <w:ind w:left="346" w:hanging="202"/>
        <w:rPr/>
      </w:pPr>
      <w:r>
        <w:t>Petición y respuesta exactas, eliminando contraseñas, tokens y datos sensibles.</w:t>
      </w:r>
    </w:p>
    <w:p w14:paraId="0000001A">
      <w:pPr>
        <w:pStyle w:val="ListBullet"/>
        <w:spacing w:after="60"/>
        <w:ind w:left="346" w:hanging="202"/>
        <w:rPr/>
      </w:pPr>
      <w:r>
        <w:t>Una pregunta concreta para BDP. Guillermo la enviará o la consultará por teléfono.</w:t>
      </w:r>
    </w:p>
    <w:p w14:paraId="0000001B">
      <w:r>
        <w:rPr/>
        <w:br w:type="page"/>
      </w:r>
    </w:p>
    <w:p w14:paraId="0000001C">
      <w:pPr>
        <w:pStyle w:val="Heading1"/>
        <w:keepNext w:val="on"/>
        <w:rPr/>
      </w:pPr>
      <w:r>
        <w:t>3 Definir qué necesita realmente el restaurante</w:t>
      </w:r>
    </w:p>
    <w:p w14:paraId="0000001D">
      <w:r>
        <w:t>Una función que el restaurante no utiliza no debe bloquear el lanzamiento; debe permanecer desactivada y anotarse para una fase posterior.</w:t>
      </w:r>
    </w:p>
    <w:tbl>
      <w:tblPr>
        <w:tblW w:w="0" w:type="auto"/>
        <w:jc w:val="center"/>
        <w:tblLayout w:type="fixed"/>
        <w:tblLook w:val="04A0"/>
      </w:tblPr>
      <w:tblGrid>
        <w:gridCol w:w="4392"/>
        <w:gridCol w:w="1800"/>
        <w:gridCol w:w="3600"/>
      </w:tblGrid>
      <w:tr>
        <w:trPr>
          <w:tblHeader w:val="on"/>
        </w:trPr>
        <w:tc>
          <w:tcPr>
            <w:cnfStyle w:val="101000000000"/>
            <w:tcW w:w="4392" w:type="dxa"/>
            <w:tcMar>
              <w:top w:w="100" w:type="dxa"/>
              <w:bottom w:w="100" w:type="dxa"/>
            </w:tcMar>
          </w:tcPr>
          <w:p w14:paraId="0000001E">
            <w:pPr>
              <w:jc w:val="center"/>
              <w:rPr/>
            </w:pPr>
            <w:r>
              <w:rPr>
                <w:b/>
                <w:color w:val="ffffff"/>
                <w:sz w:val="19"/>
              </w:rPr>
              <w:t>Pregunta al restaurante</w:t>
            </w:r>
          </w:p>
        </w:tc>
        <w:tc>
          <w:tcPr>
            <w:cnfStyle w:val="100000000000"/>
            <w:tcW w:w="1800" w:type="dxa"/>
            <w:tcMar>
              <w:top w:w="100" w:type="dxa"/>
              <w:bottom w:w="100" w:type="dxa"/>
            </w:tcMar>
          </w:tcPr>
          <w:p w14:paraId="0000001F">
            <w:pPr>
              <w:jc w:val="center"/>
              <w:rPr/>
            </w:pPr>
            <w:r>
              <w:rPr>
                <w:b/>
                <w:color w:val="ffffff"/>
                <w:sz w:val="19"/>
              </w:rPr>
              <w:t>Respuesta</w:t>
            </w:r>
          </w:p>
        </w:tc>
        <w:tc>
          <w:tcPr>
            <w:cnfStyle w:val="100000000000"/>
            <w:tcW w:w="3600" w:type="dxa"/>
            <w:tcMar>
              <w:top w:w="100" w:type="dxa"/>
              <w:bottom w:w="100" w:type="dxa"/>
            </w:tcMar>
          </w:tcPr>
          <w:p w14:paraId="00000020">
            <w:pPr>
              <w:jc w:val="center"/>
              <w:rPr/>
            </w:pPr>
            <w:r>
              <w:rPr>
                <w:b/>
                <w:color w:val="ffffff"/>
                <w:sz w:val="19"/>
              </w:rPr>
              <w:t>Consecuencia</w:t>
            </w:r>
          </w:p>
        </w:tc>
      </w:tr>
      <w:tr>
        <w:trPr/>
        <w:tc>
          <w:tcPr>
            <w:cnfStyle w:val="001000100000"/>
            <w:tcW w:w="4392" w:type="dxa"/>
            <w:tcMar>
              <w:top w:w="100" w:type="dxa"/>
              <w:bottom w:w="100" w:type="dxa"/>
            </w:tcMar>
            <w:vAlign w:val="center"/>
          </w:tcPr>
          <w:p w14:paraId="00000021">
            <w:pPr>
              <w:spacing w:after="0"/>
              <w:rPr/>
            </w:pPr>
            <w:r>
              <w:rPr>
                <w:b/>
                <w:sz w:val="18"/>
              </w:rPr>
              <w:t>¿Las comandas creadas desde la web deben imprimirse en cocina?</w:t>
            </w:r>
          </w:p>
        </w:tc>
        <w:tc>
          <w:tcPr>
            <w:cnfStyle w:val="00000010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22">
            <w:pPr>
              <w:spacing w:after="0"/>
              <w:jc w:val="center"/>
              <w:rPr/>
            </w:pPr>
            <w:r>
              <w:rPr>
                <w:sz w:val="18"/>
              </w:rPr>
              <w:t>Sí / No</w:t>
            </w:r>
          </w:p>
        </w:tc>
        <w:tc>
          <w:tcPr>
            <w:cnfStyle w:val="000000100000"/>
            <w:tcW w:w="3600" w:type="dxa"/>
            <w:tcMar>
              <w:top w:w="100" w:type="dxa"/>
              <w:bottom w:w="100" w:type="dxa"/>
            </w:tcMar>
            <w:vAlign w:val="center"/>
          </w:tcPr>
          <w:p w14:paraId="00000023">
            <w:pPr>
              <w:spacing w:after="0"/>
              <w:rPr/>
            </w:pPr>
            <w:r>
              <w:rPr>
                <w:sz w:val="18"/>
              </w:rPr>
              <w:t>Si es sí, la impresora de cocina debe probarse en el piloto antes de usar pedidos reales.</w:t>
            </w:r>
          </w:p>
        </w:tc>
      </w:tr>
      <w:tr>
        <w:trPr/>
        <w:tc>
          <w:tcPr>
            <w:cnfStyle w:val="001000010000"/>
            <w:tcW w:w="4392" w:type="dxa"/>
            <w:tcMar>
              <w:top w:w="100" w:type="dxa"/>
              <w:bottom w:w="100" w:type="dxa"/>
            </w:tcMar>
            <w:vAlign w:val="center"/>
          </w:tcPr>
          <w:p w14:paraId="00000024">
            <w:pPr>
              <w:spacing w:after="0"/>
              <w:rPr/>
            </w:pPr>
            <w:r>
              <w:rPr>
                <w:b/>
                <w:sz w:val="18"/>
              </w:rPr>
              <w:t>¿Se modifican y traspasan comandas o mesas durante el servicio?</w:t>
            </w:r>
          </w:p>
        </w:tc>
        <w:tc>
          <w:tcPr>
            <w:cnfStyle w:val="00000001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25">
            <w:pPr>
              <w:spacing w:after="0"/>
              <w:jc w:val="center"/>
              <w:rPr/>
            </w:pPr>
            <w:r>
              <w:rPr>
                <w:sz w:val="18"/>
              </w:rPr>
              <w:t>Sí / No</w:t>
            </w:r>
          </w:p>
        </w:tc>
        <w:tc>
          <w:tcPr>
            <w:cnfStyle w:val="000000010000"/>
            <w:tcW w:w="3600" w:type="dxa"/>
            <w:tcMar>
              <w:top w:w="100" w:type="dxa"/>
              <w:bottom w:w="100" w:type="dxa"/>
            </w:tcMar>
            <w:vAlign w:val="center"/>
          </w:tcPr>
          <w:p w14:paraId="00000026">
            <w:pPr>
              <w:spacing w:after="0"/>
              <w:rPr/>
            </w:pPr>
            <w:r>
              <w:rPr>
                <w:sz w:val="18"/>
              </w:rPr>
              <w:t>Si es sí, modificación, concurrencia y traspasos son pruebas críticas.</w:t>
            </w:r>
          </w:p>
        </w:tc>
      </w:tr>
      <w:tr>
        <w:trPr/>
        <w:tc>
          <w:tcPr>
            <w:cnfStyle w:val="001000100000"/>
            <w:tcW w:w="4392" w:type="dxa"/>
            <w:tcMar>
              <w:top w:w="100" w:type="dxa"/>
              <w:bottom w:w="100" w:type="dxa"/>
            </w:tcMar>
            <w:vAlign w:val="center"/>
          </w:tcPr>
          <w:p w14:paraId="00000027">
            <w:pPr>
              <w:spacing w:after="0"/>
              <w:rPr/>
            </w:pPr>
            <w:r>
              <w:rPr>
                <w:b/>
                <w:sz w:val="18"/>
              </w:rPr>
              <w:t>¿Se utilizarán pagos parciales, propinas y facturas desde la web?</w:t>
            </w:r>
          </w:p>
        </w:tc>
        <w:tc>
          <w:tcPr>
            <w:cnfStyle w:val="00000010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28">
            <w:pPr>
              <w:spacing w:after="0"/>
              <w:jc w:val="center"/>
              <w:rPr/>
            </w:pPr>
            <w:r>
              <w:rPr>
                <w:sz w:val="18"/>
              </w:rPr>
              <w:t>Sí / No</w:t>
            </w:r>
          </w:p>
        </w:tc>
        <w:tc>
          <w:tcPr>
            <w:cnfStyle w:val="000000100000"/>
            <w:tcW w:w="3600" w:type="dxa"/>
            <w:tcMar>
              <w:top w:w="100" w:type="dxa"/>
              <w:bottom w:w="100" w:type="dxa"/>
            </w:tcMar>
            <w:vAlign w:val="center"/>
          </w:tcPr>
          <w:p w14:paraId="00000029">
            <w:pPr>
              <w:spacing w:after="0"/>
              <w:rPr/>
            </w:pPr>
            <w:r>
              <w:rPr>
                <w:sz w:val="18"/>
              </w:rPr>
              <w:t>Si es sí, requieren WebLinkRestAPI completa y se activan en la última etapa.</w:t>
            </w:r>
          </w:p>
        </w:tc>
      </w:tr>
      <w:tr>
        <w:trPr/>
        <w:tc>
          <w:tcPr>
            <w:cnfStyle w:val="001000010000"/>
            <w:tcW w:w="4392" w:type="dxa"/>
            <w:tcMar>
              <w:top w:w="100" w:type="dxa"/>
              <w:bottom w:w="100" w:type="dxa"/>
            </w:tcMar>
            <w:vAlign w:val="center"/>
          </w:tcPr>
          <w:p w14:paraId="0000002A">
            <w:pPr>
              <w:spacing w:after="0"/>
              <w:rPr/>
            </w:pPr>
            <w:r>
              <w:rPr>
                <w:b/>
                <w:sz w:val="18"/>
              </w:rPr>
              <w:t>¿BDP descuenta stock por venta y se usan artículos con escandallo?</w:t>
            </w:r>
          </w:p>
        </w:tc>
        <w:tc>
          <w:tcPr>
            <w:cnfStyle w:val="00000001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2B">
            <w:pPr>
              <w:spacing w:after="0"/>
              <w:jc w:val="center"/>
              <w:rPr/>
            </w:pPr>
            <w:r>
              <w:rPr>
                <w:sz w:val="18"/>
              </w:rPr>
              <w:t>Sí / No</w:t>
            </w:r>
          </w:p>
        </w:tc>
        <w:tc>
          <w:tcPr>
            <w:cnfStyle w:val="000000010000"/>
            <w:tcW w:w="3600" w:type="dxa"/>
            <w:tcMar>
              <w:top w:w="100" w:type="dxa"/>
              <w:bottom w:w="100" w:type="dxa"/>
            </w:tcMar>
            <w:vAlign w:val="center"/>
          </w:tcPr>
          <w:p w14:paraId="0000002C">
            <w:pPr>
              <w:spacing w:after="0"/>
              <w:rPr/>
            </w:pPr>
            <w:r>
              <w:rPr>
                <w:sz w:val="18"/>
              </w:rPr>
              <w:t>Solo se prueban y activan las funciones de stock que realmente use el restaurante.</w:t>
            </w:r>
          </w:p>
        </w:tc>
      </w:tr>
      <w:tr>
        <w:trPr/>
        <w:tc>
          <w:tcPr>
            <w:cnfStyle w:val="001000100000"/>
            <w:tcW w:w="4392" w:type="dxa"/>
            <w:tcMar>
              <w:top w:w="100" w:type="dxa"/>
              <w:bottom w:w="100" w:type="dxa"/>
            </w:tcMar>
            <w:vAlign w:val="center"/>
          </w:tcPr>
          <w:p w14:paraId="0000002D">
            <w:pPr>
              <w:spacing w:after="0"/>
              <w:rPr/>
            </w:pPr>
            <w:r>
              <w:rPr>
                <w:b/>
                <w:sz w:val="18"/>
              </w:rPr>
              <w:t>¿Se harán inventarios absolutos o traspasos entre almacenes desde la web?</w:t>
            </w:r>
          </w:p>
        </w:tc>
        <w:tc>
          <w:tcPr>
            <w:cnfStyle w:val="00000010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2E">
            <w:pPr>
              <w:spacing w:after="0"/>
              <w:jc w:val="center"/>
              <w:rPr/>
            </w:pPr>
            <w:r>
              <w:rPr>
                <w:sz w:val="18"/>
              </w:rPr>
              <w:t>Sí / No</w:t>
            </w:r>
          </w:p>
        </w:tc>
        <w:tc>
          <w:tcPr>
            <w:cnfStyle w:val="000000100000"/>
            <w:tcW w:w="3600" w:type="dxa"/>
            <w:tcMar>
              <w:top w:w="100" w:type="dxa"/>
              <w:bottom w:w="100" w:type="dxa"/>
            </w:tcMar>
            <w:vAlign w:val="center"/>
          </w:tcPr>
          <w:p w14:paraId="0000002F">
            <w:pPr>
              <w:spacing w:after="0"/>
              <w:rPr/>
            </w:pPr>
            <w:r>
              <w:rPr>
                <w:sz w:val="18"/>
              </w:rPr>
              <w:t>Las funciones no utilizadas permanecen desactivadas.</w:t>
            </w:r>
          </w:p>
        </w:tc>
      </w:tr>
      <w:tr>
        <w:trPr/>
        <w:tc>
          <w:tcPr>
            <w:cnfStyle w:val="001000010000"/>
            <w:tcW w:w="4392" w:type="dxa"/>
            <w:tcMar>
              <w:top w:w="100" w:type="dxa"/>
              <w:bottom w:w="100" w:type="dxa"/>
            </w:tcMar>
            <w:vAlign w:val="center"/>
          </w:tcPr>
          <w:p w14:paraId="00000030">
            <w:pPr>
              <w:spacing w:after="0"/>
              <w:rPr/>
            </w:pPr>
            <w:r>
              <w:rPr>
                <w:b/>
                <w:sz w:val="18"/>
              </w:rPr>
              <w:t>¿Se utilizará la llamada al camarero o la validación manual de comandas?</w:t>
            </w:r>
          </w:p>
        </w:tc>
        <w:tc>
          <w:tcPr>
            <w:cnfStyle w:val="000000010000"/>
            <w:tcW w:w="1800" w:type="dxa"/>
            <w:tcMar>
              <w:top w:w="100" w:type="dxa"/>
              <w:bottom w:w="100" w:type="dxa"/>
            </w:tcMar>
            <w:vAlign w:val="center"/>
          </w:tcPr>
          <w:p w14:paraId="00000031">
            <w:pPr>
              <w:spacing w:after="0"/>
              <w:jc w:val="center"/>
              <w:rPr/>
            </w:pPr>
            <w:r>
              <w:rPr>
                <w:sz w:val="18"/>
              </w:rPr>
              <w:t>Sí / No</w:t>
            </w:r>
          </w:p>
        </w:tc>
        <w:tc>
          <w:tcPr>
            <w:cnfStyle w:val="000000010000"/>
            <w:tcW w:w="3600" w:type="dxa"/>
            <w:tcMar>
              <w:top w:w="100" w:type="dxa"/>
              <w:bottom w:w="100" w:type="dxa"/>
            </w:tcMar>
            <w:vAlign w:val="center"/>
          </w:tcPr>
          <w:p w14:paraId="00000032">
            <w:pPr>
              <w:spacing w:after="0"/>
              <w:rPr/>
            </w:pPr>
            <w:r>
              <w:rPr>
                <w:sz w:val="18"/>
              </w:rPr>
              <w:t>Si no se usan, D21 y D31 no bloquean la primera versión.</w:t>
            </w:r>
          </w:p>
        </w:tc>
      </w:tr>
    </w:tbl>
    <w:p w14:paraId="00000033">
      <w:pPr>
        <w:pStyle w:val="Heading1"/>
        <w:keepNext w:val="on"/>
        <w:rPr/>
      </w:pPr>
      <w:r>
        <w:t>4 Trabajo crítico de Wan en el entorno local</w:t>
      </w:r>
    </w:p>
    <w:p w14:paraId="00000034">
      <w:r>
        <w:rPr>
          <w:b/>
        </w:rPr>
        <w:t xml:space="preserve">Regla. </w:t>
      </w:r>
      <w:r>
        <w:t>Wan no necesita volver a justificar las 65 pruebas. Debe concentrarse en las operaciones que pueden perder datos, duplicar movimientos o provocar diferencias entre la web y BDP.</w:t>
      </w:r>
    </w:p>
    <w:p w14:paraId="00000035">
      <w:pPr>
        <w:pStyle w:val="Heading2"/>
        <w:keepNext w:val="on"/>
        <w:rPr/>
      </w:pPr>
      <w:r>
        <w:t>4.1 Identidad y licencia del entorno</w:t>
      </w:r>
    </w:p>
    <w:p w14:paraId="00000036">
      <w:pPr>
        <w:keepLines w:val="on"/>
        <w:rPr/>
      </w:pPr>
      <w:r>
        <w:t>Después de que Guillermo resuelva la licencia con BDP, ejecutar el diagnóstico de salud, inicio de sesión, versión y aplicación 84. Guardar la respuesta completa. El entorno no se considera equivalente al de producción hasta saber si ambos usan la misma modalidad funcional.</w:t>
      </w:r>
    </w:p>
    <w:p w14:paraId="00000037">
      <w:pPr>
        <w:pStyle w:val="Heading2"/>
        <w:keepNext w:val="on"/>
        <w:rPr/>
      </w:pPr>
      <w:r>
        <w:t>4.2 Comandas</w:t>
      </w:r>
    </w:p>
    <w:p w14:paraId="00000038">
      <w:pPr>
        <w:keepLines w:val="on"/>
        <w:rPr/>
      </w:pPr>
      <w:r>
        <w:t>Probar crear, añadir una línea, cambiar unidades o comentario, retirar una línea y anular. Después de cada operación, comprobar el mismo identificador, el contenido y el total en la web y en BDP.</w:t>
      </w:r>
    </w:p>
    <w:p w14:paraId="00000039">
      <w:pPr>
        <w:pStyle w:val="Heading2"/>
        <w:keepNext w:val="on"/>
        <w:rPr/>
      </w:pPr>
      <w:r>
        <w:t>4.3 Conflicto entre web y TPV</w:t>
      </w:r>
    </w:p>
    <w:p w14:paraId="0000003A">
      <w:pPr>
        <w:keepLines w:val="on"/>
        <w:rPr/>
      </w:pPr>
      <w:r>
        <w:t>Provocar un cambio desde la web y otro desde el TPV sobre la misma comanda. El resultado debe mostrar un conflicto o aplicar una regla visible; nunca puede desaparecer un cambio sin aviso. Dos peticiones procedentes solo de la web no sustituyen esta prueba.</w:t>
      </w:r>
    </w:p>
    <w:p w14:paraId="0000003B">
      <w:pPr>
        <w:pStyle w:val="Heading2"/>
        <w:keepNext w:val="on"/>
        <w:rPr/>
      </w:pPr>
      <w:r>
        <w:t>4.4 Propinas, pagos y facturación</w:t>
      </w:r>
    </w:p>
    <w:p w14:paraId="0000003C">
      <w:pPr>
        <w:keepLines w:val="on"/>
        <w:rPr/>
      </w:pPr>
      <w:r>
        <w:t>Con la API completa, probar propina, pago parcial, pago total, doble clic, pérdida de respuesta y facturación con datos fiscales. Antes de reintentar, la integración debe consultar BDP. No puede existir un segundo cobro ni una segunda factura.</w:t>
      </w:r>
    </w:p>
    <w:p w14:paraId="0000003D">
      <w:pPr>
        <w:pStyle w:val="Heading2"/>
        <w:keepNext w:val="on"/>
        <w:rPr/>
      </w:pPr>
      <w:r>
        <w:t>4.5 Reinicios y recuperación</w:t>
      </w:r>
    </w:p>
    <w:p w14:paraId="0000003E">
      <w:pPr>
        <w:keepLines w:val="on"/>
        <w:rPr/>
      </w:pPr>
      <w:r>
        <w:t>Probar por separado el reinicio del proceso de sincronización, WebLinkRestAPI y BDP.NET. La cola, los vínculos y los resultados deben recuperarse sin duplicados. No hace falta un informe largo: basta una evidencia clara por cada reinicio.</w:t>
      </w:r>
    </w:p>
    <w:p w14:paraId="0000003F">
      <w:pPr>
        <w:pStyle w:val="Heading2"/>
        <w:keepNext w:val="on"/>
        <w:rPr/>
      </w:pPr>
      <w:r>
        <w:t>4.6 Permisos por categorías</w:t>
      </w:r>
    </w:p>
    <w:p w14:paraId="00000040">
      <w:pPr>
        <w:keepLines w:val="on"/>
        <w:rPr/>
      </w:pPr>
      <w:r>
        <w:t>Mantener el interruptor general de solo lectura y permisos independientes para comandas, artículos y clientes, propinas y puntos, pagos, facturas, stock y camarero. Activar una categoría no puede habilitar ninguna otra.</w:t>
      </w:r>
    </w:p>
    <w:p w14:paraId="00000041">
      <w:pPr>
        <w:pStyle w:val="Heading2"/>
        <w:keepNext w:val="on"/>
        <w:rPr/>
      </w:pPr>
      <w:r>
        <w:t>4.7 Stock necesario</w:t>
      </w:r>
    </w:p>
    <w:p w14:paraId="00000042">
      <w:pPr>
        <w:keepLines w:val="on"/>
        <w:rPr/>
      </w:pPr>
      <w:r>
        <w:t>Probar únicamente las operaciones confirmadas por el restaurante. Cada prueba debe registrar stock inicial, operación y stock final. Escandallos, inventario absoluto o traspasos no deben bloquear el lanzamiento si no se utilizarán; permanecen apagados.</w:t>
      </w:r>
    </w:p>
    <w:p w14:paraId="00000043">
      <w:pPr>
        <w:pStyle w:val="Heading1"/>
        <w:keepNext w:val="on"/>
        <w:rPr/>
      </w:pPr>
      <w:r>
        <w:t>5 Evidencia mínima necesaria</w:t>
      </w:r>
    </w:p>
    <w:p w14:paraId="00000044">
      <w:r>
        <w:rPr>
          <w:b/>
        </w:rPr>
        <w:t xml:space="preserve">No se exige una ficha exhaustiva para todo. </w:t>
      </w:r>
      <w:r>
        <w:t>Solo las pruebas críticas anteriores deben poder revisarse sin acceso al BDP de Wan.</w:t>
      </w:r>
    </w:p>
    <w:p w14:paraId="00000045">
      <w:pPr>
        <w:pStyle w:val="ListBullet"/>
        <w:spacing w:after="60"/>
        <w:ind w:left="346" w:hanging="202"/>
        <w:rPr/>
      </w:pPr>
      <w:r>
        <w:t>Fecha, entorno, versión y modalidad de licencia.</w:t>
      </w:r>
    </w:p>
    <w:p w14:paraId="00000046">
      <w:pPr>
        <w:pStyle w:val="ListBullet"/>
        <w:spacing w:after="60"/>
        <w:ind w:left="346" w:hanging="202"/>
        <w:rPr/>
      </w:pPr>
      <w:r>
        <w:t>Acción realizada y resultado esperado.</w:t>
      </w:r>
    </w:p>
    <w:p w14:paraId="00000047">
      <w:pPr>
        <w:pStyle w:val="ListBullet"/>
        <w:spacing w:after="60"/>
        <w:ind w:left="346" w:hanging="202"/>
        <w:rPr/>
      </w:pPr>
      <w:r>
        <w:t>Resultado final en la web y en BDP.</w:t>
      </w:r>
    </w:p>
    <w:p w14:paraId="00000048">
      <w:pPr>
        <w:pStyle w:val="ListBullet"/>
        <w:spacing w:after="60"/>
        <w:ind w:left="346" w:hanging="202"/>
        <w:rPr/>
      </w:pPr>
      <w:r>
        <w:t>Una captura, grabación breve o registro de auditoría, sin credenciales.</w:t>
      </w:r>
    </w:p>
    <w:p w14:paraId="00000049">
      <w:pPr>
        <w:pStyle w:val="ListBullet"/>
        <w:spacing w:after="60"/>
        <w:ind w:left="346" w:hanging="202"/>
        <w:rPr/>
      </w:pPr>
      <w:r>
        <w:t>Estado final: superada, pendiente de BDP, pendiente de restaurante o desactivada porque no se utilizará.</w:t>
      </w:r>
    </w:p>
    <w:p w14:paraId="0000004A">
      <w:r>
        <w:rPr>
          <w:b/>
        </w:rPr>
        <w:t xml:space="preserve">Formato recomendado. </w:t>
      </w:r>
      <w:r>
        <w:t>Una tabla breve compartida entre Guillermo y Wan con una fila por prueba crítica y un enlace a la evidencia. No es necesario volver a redactar el informe completo cada vez.</w:t>
      </w:r>
    </w:p>
    <w:p w14:paraId="0000004B">
      <w:pPr>
        <w:pStyle w:val="Heading1"/>
        <w:keepNext w:val="on"/>
        <w:rPr/>
      </w:pPr>
      <w:r>
        <w:t>6 Preparación del restaurante</w:t>
      </w:r>
    </w:p>
    <w:p w14:paraId="0000004C">
      <w:pPr>
        <w:pStyle w:val="ListNumber"/>
        <w:spacing w:after="80"/>
        <w:rPr/>
      </w:pPr>
      <w:r>
        <w:t>Confirmar que la WebLinkRestAPI del restaurante es completa o tramitar la licencia comercial mediante el distribuidor.</w:t>
      </w:r>
    </w:p>
    <w:p w14:paraId="0000004D">
      <w:pPr>
        <w:pStyle w:val="ListNumber"/>
        <w:spacing w:after="80"/>
        <w:rPr/>
      </w:pPr>
      <w:r>
        <w:t>Configurar las formas de pago y los tipos de pedido que usa realmente el restaurante.</w:t>
      </w:r>
    </w:p>
    <w:p w14:paraId="0000004E">
      <w:pPr>
        <w:pStyle w:val="ListNumber"/>
        <w:spacing w:after="80"/>
        <w:rPr/>
      </w:pPr>
      <w:r>
        <w:t>Confirmar el perfil de documentos de venta para poder recuperar y conciliar facturas y cobros.</w:t>
      </w:r>
    </w:p>
    <w:p w14:paraId="0000004F">
      <w:pPr>
        <w:pStyle w:val="ListNumber"/>
        <w:spacing w:after="80"/>
        <w:rPr/>
      </w:pPr>
      <w:r>
        <w:t>Crear una copia o snapshot reciente y comprobar el procedimiento para volver a solo lectura.</w:t>
      </w:r>
    </w:p>
    <w:p w14:paraId="00000050">
      <w:pPr>
        <w:pStyle w:val="ListNumber"/>
        <w:spacing w:after="80"/>
        <w:rPr/>
      </w:pPr>
      <w:r>
        <w:t>Elegir una franja fuera del servicio y asegurar que Wan puede observar la web y el TPV durante la prueba.</w:t>
      </w:r>
    </w:p>
    <w:p w14:paraId="00000051">
      <w:pPr>
        <w:pStyle w:val="ListNumber"/>
        <w:spacing w:after="80"/>
        <w:rPr/>
      </w:pPr>
      <w:r>
        <w:t>Mantener desactivadas todas las categorías que todavía no estén probadas o no vayan a utilizarse.</w:t>
      </w:r>
    </w:p>
    <w:p w14:paraId="00000052">
      <w:pPr>
        <w:pStyle w:val="Heading1"/>
        <w:keepNext w:val="on"/>
        <w:rPr/>
      </w:pPr>
      <w:r>
        <w:t>7 Puesta en marcha por etapas</w:t>
      </w:r>
    </w:p>
    <w:p w14:paraId="00000053">
      <w:r>
        <w:rPr>
          <w:b/>
        </w:rPr>
        <w:t xml:space="preserve">No se activa todo a la vez. </w:t>
      </w:r>
      <w:r>
        <w:t>Cada etapa comienza con una categoría y solo avanza cuando web y BDP coinciden.</w:t>
      </w:r>
    </w:p>
    <w:tbl>
      <w:tblPr>
        <w:tblW w:w="0" w:type="auto"/>
        <w:jc w:val="center"/>
        <w:tblLayout w:type="fixed"/>
        <w:tblLook w:val="04A0"/>
      </w:tblPr>
      <w:tblGrid>
        <w:gridCol w:w="792"/>
        <w:gridCol w:w="2232"/>
        <w:gridCol w:w="3816"/>
        <w:gridCol w:w="3024"/>
      </w:tblGrid>
      <w:tr>
        <w:trPr>
          <w:tblHeader w:val="on"/>
        </w:trPr>
        <w:tc>
          <w:tcPr>
            <w:cnfStyle w:val="101000000000"/>
            <w:tcW w:w="792" w:type="dxa"/>
            <w:tcMar>
              <w:top w:w="100" w:type="dxa"/>
              <w:bottom w:w="100" w:type="dxa"/>
            </w:tcMar>
          </w:tcPr>
          <w:p w14:paraId="00000054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cnfStyle w:val="100000000000"/>
            <w:tcW w:w="2232" w:type="dxa"/>
            <w:tcMar>
              <w:top w:w="100" w:type="dxa"/>
              <w:bottom w:w="100" w:type="dxa"/>
            </w:tcMar>
          </w:tcPr>
          <w:p w14:paraId="00000055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>Qué se activa</w:t>
            </w:r>
          </w:p>
        </w:tc>
        <w:tc>
          <w:tcPr>
            <w:cnfStyle w:val="100000000000"/>
            <w:tcW w:w="3816" w:type="dxa"/>
            <w:tcMar>
              <w:top w:w="100" w:type="dxa"/>
              <w:bottom w:w="100" w:type="dxa"/>
            </w:tcMar>
          </w:tcPr>
          <w:p w14:paraId="00000056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>Qué se comprueba</w:t>
            </w:r>
          </w:p>
        </w:tc>
        <w:tc>
          <w:tcPr>
            <w:cnfStyle w:val="100000000000"/>
            <w:tcW w:w="3024" w:type="dxa"/>
            <w:tcMar>
              <w:top w:w="100" w:type="dxa"/>
              <w:bottom w:w="100" w:type="dxa"/>
            </w:tcMar>
          </w:tcPr>
          <w:p w14:paraId="00000057">
            <w:pPr>
              <w:jc w:val="center"/>
              <w:rPr/>
            </w:pPr>
            <w:r>
              <w:rPr>
                <w:b/>
                <w:color w:val="ffffff"/>
                <w:sz w:val="18"/>
              </w:rPr>
              <w:t>Cuándo se detiene</w:t>
            </w:r>
          </w:p>
        </w:tc>
      </w:tr>
      <w:tr>
        <w:trPr/>
        <w:tc>
          <w:tcPr>
            <w:cnfStyle w:val="001000100000"/>
            <w:tcW w:w="792" w:type="dxa"/>
            <w:tcMar>
              <w:top w:w="100" w:type="dxa"/>
              <w:bottom w:w="100" w:type="dxa"/>
            </w:tcMar>
            <w:vAlign w:val="center"/>
          </w:tcPr>
          <w:p w14:paraId="00000058">
            <w:pPr>
              <w:spacing w:after="0"/>
              <w:jc w:val="center"/>
              <w:rPr/>
            </w:pPr>
            <w:r>
              <w:rPr>
                <w:b/>
                <w:sz w:val="17"/>
              </w:rPr>
              <w:t>0</w:t>
            </w:r>
          </w:p>
        </w:tc>
        <w:tc>
          <w:tcPr>
            <w:cnfStyle w:val="000000100000"/>
            <w:tcW w:w="2232" w:type="dxa"/>
            <w:tcMar>
              <w:top w:w="100" w:type="dxa"/>
              <w:bottom w:w="100" w:type="dxa"/>
            </w:tcMar>
            <w:vAlign w:val="center"/>
          </w:tcPr>
          <w:p w14:paraId="00000059">
            <w:pPr>
              <w:spacing w:after="0"/>
              <w:rPr/>
            </w:pPr>
            <w:r>
              <w:rPr>
                <w:b/>
                <w:sz w:val="17"/>
              </w:rPr>
              <w:t>Solo lectura</w:t>
            </w:r>
          </w:p>
        </w:tc>
        <w:tc>
          <w:tcPr>
            <w:cnfStyle w:val="000000100000"/>
            <w:tcW w:w="3816" w:type="dxa"/>
            <w:tcMar>
              <w:top w:w="100" w:type="dxa"/>
              <w:bottom w:w="100" w:type="dxa"/>
            </w:tcMar>
            <w:vAlign w:val="center"/>
          </w:tcPr>
          <w:p w14:paraId="0000005A">
            <w:pPr>
              <w:spacing w:after="0"/>
              <w:rPr/>
            </w:pPr>
            <w:r>
              <w:rPr>
                <w:sz w:val="17"/>
              </w:rPr>
              <w:t>Durante al menos un servicio completo, comparar artículos, clientes, comandas conocidas y documentos.</w:t>
            </w:r>
          </w:p>
        </w:tc>
        <w:tc>
          <w:tcPr>
            <w:cnfStyle w:val="000000100000"/>
            <w:tcW w:w="3024" w:type="dxa"/>
            <w:tcMar>
              <w:top w:w="100" w:type="dxa"/>
              <w:bottom w:w="100" w:type="dxa"/>
            </w:tcMar>
            <w:vAlign w:val="center"/>
          </w:tcPr>
          <w:p w14:paraId="0000005B">
            <w:pPr>
              <w:spacing w:after="0"/>
              <w:rPr/>
            </w:pPr>
            <w:r>
              <w:rPr>
                <w:sz w:val="17"/>
              </w:rPr>
              <w:t>Datos distintos, errores continuos o receptor inestable.</w:t>
            </w:r>
          </w:p>
        </w:tc>
      </w:tr>
      <w:tr>
        <w:trPr/>
        <w:tc>
          <w:tcPr>
            <w:cnfStyle w:val="001000010000"/>
            <w:tcW w:w="792" w:type="dxa"/>
            <w:tcMar>
              <w:top w:w="100" w:type="dxa"/>
              <w:bottom w:w="100" w:type="dxa"/>
            </w:tcMar>
            <w:vAlign w:val="center"/>
          </w:tcPr>
          <w:p w14:paraId="0000005C">
            <w:pPr>
              <w:spacing w:after="0"/>
              <w:jc w:val="center"/>
              <w:rPr/>
            </w:pPr>
            <w:r>
              <w:rPr>
                <w:b/>
                <w:sz w:val="17"/>
              </w:rPr>
              <w:t>1</w:t>
            </w:r>
          </w:p>
        </w:tc>
        <w:tc>
          <w:tcPr>
            <w:cnfStyle w:val="000000010000"/>
            <w:tcW w:w="2232" w:type="dxa"/>
            <w:tcMar>
              <w:top w:w="100" w:type="dxa"/>
              <w:bottom w:w="100" w:type="dxa"/>
            </w:tcMar>
            <w:vAlign w:val="center"/>
          </w:tcPr>
          <w:p w14:paraId="0000005D">
            <w:pPr>
              <w:spacing w:after="0"/>
              <w:rPr/>
            </w:pPr>
            <w:r>
              <w:rPr>
                <w:b/>
                <w:sz w:val="17"/>
              </w:rPr>
              <w:t>Una comanda autorizada manualmente</w:t>
            </w:r>
          </w:p>
        </w:tc>
        <w:tc>
          <w:tcPr>
            <w:cnfStyle w:val="000000010000"/>
            <w:tcW w:w="3816" w:type="dxa"/>
            <w:tcMar>
              <w:top w:w="100" w:type="dxa"/>
              <w:bottom w:w="100" w:type="dxa"/>
            </w:tcMar>
            <w:vAlign w:val="center"/>
          </w:tcPr>
          <w:p w14:paraId="0000005E">
            <w:pPr>
              <w:spacing w:after="0"/>
              <w:rPr/>
            </w:pPr>
            <w:r>
              <w:rPr>
                <w:sz w:val="17"/>
              </w:rPr>
              <w:t>Crear y anular una comanda de prueba. Confirmar identificador, líneas, total y cocina si se utiliza.</w:t>
            </w:r>
          </w:p>
        </w:tc>
        <w:tc>
          <w:tcPr>
            <w:cnfStyle w:val="000000010000"/>
            <w:tcW w:w="3024" w:type="dxa"/>
            <w:tcMar>
              <w:top w:w="100" w:type="dxa"/>
              <w:bottom w:w="100" w:type="dxa"/>
            </w:tcMar>
            <w:vAlign w:val="center"/>
          </w:tcPr>
          <w:p w14:paraId="0000005F">
            <w:pPr>
              <w:spacing w:after="0"/>
              <w:rPr/>
            </w:pPr>
            <w:r>
              <w:rPr>
                <w:sz w:val="17"/>
              </w:rPr>
              <w:t>Comanda duplicada, incompleta o no visible en uno de los sistemas.</w:t>
            </w:r>
          </w:p>
        </w:tc>
      </w:tr>
      <w:tr>
        <w:trPr/>
        <w:tc>
          <w:tcPr>
            <w:cnfStyle w:val="001000100000"/>
            <w:tcW w:w="792" w:type="dxa"/>
            <w:tcMar>
              <w:top w:w="100" w:type="dxa"/>
              <w:bottom w:w="100" w:type="dxa"/>
            </w:tcMar>
            <w:vAlign w:val="center"/>
          </w:tcPr>
          <w:p w14:paraId="00000060">
            <w:pPr>
              <w:spacing w:after="0"/>
              <w:jc w:val="center"/>
              <w:rPr/>
            </w:pPr>
            <w:r>
              <w:rPr>
                <w:b/>
                <w:sz w:val="17"/>
              </w:rPr>
              <w:t>2</w:t>
            </w:r>
          </w:p>
        </w:tc>
        <w:tc>
          <w:tcPr>
            <w:cnfStyle w:val="000000100000"/>
            <w:tcW w:w="2232" w:type="dxa"/>
            <w:tcMar>
              <w:top w:w="100" w:type="dxa"/>
              <w:bottom w:w="100" w:type="dxa"/>
            </w:tcMar>
            <w:vAlign w:val="center"/>
          </w:tcPr>
          <w:p w14:paraId="00000061">
            <w:pPr>
              <w:spacing w:after="0"/>
              <w:rPr/>
            </w:pPr>
            <w:r>
              <w:rPr>
                <w:b/>
                <w:sz w:val="17"/>
              </w:rPr>
              <w:t>Comandas automáticas</w:t>
            </w:r>
          </w:p>
        </w:tc>
        <w:tc>
          <w:tcPr>
            <w:cnfStyle w:val="000000100000"/>
            <w:tcW w:w="3816" w:type="dxa"/>
            <w:tcMar>
              <w:top w:w="100" w:type="dxa"/>
              <w:bottom w:w="100" w:type="dxa"/>
            </w:tcMar>
            <w:vAlign w:val="center"/>
          </w:tcPr>
          <w:p w14:paraId="00000062">
            <w:pPr>
              <w:spacing w:after="0"/>
              <w:rPr/>
            </w:pPr>
            <w:r>
              <w:rPr>
                <w:sz w:val="17"/>
              </w:rPr>
              <w:t>Operar primero con pocas comandas y revisar sincronización y conflictos.</w:t>
            </w:r>
          </w:p>
        </w:tc>
        <w:tc>
          <w:tcPr>
            <w:cnfStyle w:val="000000100000"/>
            <w:tcW w:w="3024" w:type="dxa"/>
            <w:tcMar>
              <w:top w:w="100" w:type="dxa"/>
              <w:bottom w:w="100" w:type="dxa"/>
            </w:tcMar>
            <w:vAlign w:val="center"/>
          </w:tcPr>
          <w:p w14:paraId="00000063">
            <w:pPr>
              <w:spacing w:after="0"/>
              <w:rPr/>
            </w:pPr>
            <w:r>
              <w:rPr>
                <w:sz w:val="17"/>
              </w:rPr>
              <w:t>Cambio perdido, duplicado o cola bloqueada.</w:t>
            </w:r>
          </w:p>
        </w:tc>
      </w:tr>
      <w:tr>
        <w:trPr/>
        <w:tc>
          <w:tcPr>
            <w:cnfStyle w:val="001000010000"/>
            <w:tcW w:w="792" w:type="dxa"/>
            <w:tcMar>
              <w:top w:w="100" w:type="dxa"/>
              <w:bottom w:w="100" w:type="dxa"/>
            </w:tcMar>
            <w:vAlign w:val="center"/>
          </w:tcPr>
          <w:p w14:paraId="00000064">
            <w:pPr>
              <w:spacing w:after="0"/>
              <w:jc w:val="center"/>
              <w:rPr/>
            </w:pPr>
            <w:r>
              <w:rPr>
                <w:b/>
                <w:sz w:val="17"/>
              </w:rPr>
              <w:t>3</w:t>
            </w:r>
          </w:p>
        </w:tc>
        <w:tc>
          <w:tcPr>
            <w:cnfStyle w:val="000000010000"/>
            <w:tcW w:w="2232" w:type="dxa"/>
            <w:tcMar>
              <w:top w:w="100" w:type="dxa"/>
              <w:bottom w:w="100" w:type="dxa"/>
            </w:tcMar>
            <w:vAlign w:val="center"/>
          </w:tcPr>
          <w:p w14:paraId="00000065">
            <w:pPr>
              <w:spacing w:after="0"/>
              <w:rPr/>
            </w:pPr>
            <w:r>
              <w:rPr>
                <w:b/>
                <w:sz w:val="17"/>
              </w:rPr>
              <w:t>Stock, solo si se utiliza</w:t>
            </w:r>
          </w:p>
        </w:tc>
        <w:tc>
          <w:tcPr>
            <w:cnfStyle w:val="000000010000"/>
            <w:tcW w:w="3816" w:type="dxa"/>
            <w:tcMar>
              <w:top w:w="100" w:type="dxa"/>
              <w:bottom w:w="100" w:type="dxa"/>
            </w:tcMar>
            <w:vAlign w:val="center"/>
          </w:tcPr>
          <w:p w14:paraId="00000066">
            <w:pPr>
              <w:spacing w:after="0"/>
              <w:rPr/>
            </w:pPr>
            <w:r>
              <w:rPr>
                <w:sz w:val="17"/>
              </w:rPr>
              <w:t>Activar únicamente las operaciones de stock ya probadas y cuadrar antes y después.</w:t>
            </w:r>
          </w:p>
        </w:tc>
        <w:tc>
          <w:tcPr>
            <w:cnfStyle w:val="000000010000"/>
            <w:tcW w:w="3024" w:type="dxa"/>
            <w:tcMar>
              <w:top w:w="100" w:type="dxa"/>
              <w:bottom w:w="100" w:type="dxa"/>
            </w:tcMar>
            <w:vAlign w:val="center"/>
          </w:tcPr>
          <w:p w14:paraId="00000067">
            <w:pPr>
              <w:spacing w:after="0"/>
              <w:rPr/>
            </w:pPr>
            <w:r>
              <w:rPr>
                <w:sz w:val="17"/>
              </w:rPr>
              <w:t>Cualquier descuadre o movimiento sin origen identificable.</w:t>
            </w:r>
          </w:p>
        </w:tc>
      </w:tr>
      <w:tr>
        <w:trPr/>
        <w:tc>
          <w:tcPr>
            <w:cnfStyle w:val="001000100000"/>
            <w:tcW w:w="792" w:type="dxa"/>
            <w:tcMar>
              <w:top w:w="100" w:type="dxa"/>
              <w:bottom w:w="100" w:type="dxa"/>
            </w:tcMar>
            <w:vAlign w:val="center"/>
          </w:tcPr>
          <w:p w14:paraId="00000068">
            <w:pPr>
              <w:spacing w:after="0"/>
              <w:jc w:val="center"/>
              <w:rPr/>
            </w:pPr>
            <w:r>
              <w:rPr>
                <w:b/>
                <w:sz w:val="17"/>
              </w:rPr>
              <w:t>4</w:t>
            </w:r>
          </w:p>
        </w:tc>
        <w:tc>
          <w:tcPr>
            <w:cnfStyle w:val="000000100000"/>
            <w:tcW w:w="2232" w:type="dxa"/>
            <w:tcMar>
              <w:top w:w="100" w:type="dxa"/>
              <w:bottom w:w="100" w:type="dxa"/>
            </w:tcMar>
            <w:vAlign w:val="center"/>
          </w:tcPr>
          <w:p w14:paraId="00000069">
            <w:pPr>
              <w:spacing w:after="0"/>
              <w:rPr/>
            </w:pPr>
            <w:r>
              <w:rPr>
                <w:b/>
                <w:sz w:val="17"/>
              </w:rPr>
              <w:t>Propinas, pagos y facturas</w:t>
            </w:r>
          </w:p>
        </w:tc>
        <w:tc>
          <w:tcPr>
            <w:cnfStyle w:val="000000100000"/>
            <w:tcW w:w="3816" w:type="dxa"/>
            <w:tcMar>
              <w:top w:w="100" w:type="dxa"/>
              <w:bottom w:w="100" w:type="dxa"/>
            </w:tcMar>
            <w:vAlign w:val="center"/>
          </w:tcPr>
          <w:p w14:paraId="0000006A">
            <w:pPr>
              <w:spacing w:after="0"/>
              <w:rPr/>
            </w:pPr>
            <w:r>
              <w:rPr>
                <w:sz w:val="17"/>
              </w:rPr>
              <w:t>Ejecutar pruebas controladas con la licencia completa y comprobar caja, documento y auditoría.</w:t>
            </w:r>
          </w:p>
        </w:tc>
        <w:tc>
          <w:tcPr>
            <w:cnfStyle w:val="000000100000"/>
            <w:tcW w:w="3024" w:type="dxa"/>
            <w:tcMar>
              <w:top w:w="100" w:type="dxa"/>
              <w:bottom w:w="100" w:type="dxa"/>
            </w:tcMar>
            <w:vAlign w:val="center"/>
          </w:tcPr>
          <w:p w14:paraId="0000006B">
            <w:pPr>
              <w:spacing w:after="0"/>
              <w:rPr/>
            </w:pPr>
            <w:r>
              <w:rPr>
                <w:sz w:val="17"/>
              </w:rPr>
              <w:t>Cobro dudoso, factura duplicada o diferencia económica.</w:t>
            </w:r>
          </w:p>
        </w:tc>
      </w:tr>
      <w:tr>
        <w:trPr/>
        <w:tc>
          <w:tcPr>
            <w:cnfStyle w:val="001000010000"/>
            <w:tcW w:w="792" w:type="dxa"/>
            <w:tcMar>
              <w:top w:w="100" w:type="dxa"/>
              <w:bottom w:w="100" w:type="dxa"/>
            </w:tcMar>
            <w:vAlign w:val="center"/>
          </w:tcPr>
          <w:p w14:paraId="0000006C">
            <w:pPr>
              <w:spacing w:after="0"/>
              <w:jc w:val="center"/>
              <w:rPr/>
            </w:pPr>
            <w:r>
              <w:rPr>
                <w:b/>
                <w:sz w:val="17"/>
              </w:rPr>
              <w:t>5</w:t>
            </w:r>
          </w:p>
        </w:tc>
        <w:tc>
          <w:tcPr>
            <w:cnfStyle w:val="000000010000"/>
            <w:tcW w:w="2232" w:type="dxa"/>
            <w:tcMar>
              <w:top w:w="100" w:type="dxa"/>
              <w:bottom w:w="100" w:type="dxa"/>
            </w:tcMar>
            <w:vAlign w:val="center"/>
          </w:tcPr>
          <w:p w14:paraId="0000006D">
            <w:pPr>
              <w:spacing w:after="0"/>
              <w:rPr/>
            </w:pPr>
            <w:r>
              <w:rPr>
                <w:b/>
                <w:sz w:val="17"/>
              </w:rPr>
              <w:t>Automático estable</w:t>
            </w:r>
          </w:p>
        </w:tc>
        <w:tc>
          <w:tcPr>
            <w:cnfStyle w:val="000000010000"/>
            <w:tcW w:w="3816" w:type="dxa"/>
            <w:tcMar>
              <w:top w:w="100" w:type="dxa"/>
              <w:bottom w:w="100" w:type="dxa"/>
            </w:tcMar>
            <w:vAlign w:val="center"/>
          </w:tcPr>
          <w:p w14:paraId="0000006E">
            <w:pPr>
              <w:spacing w:after="0"/>
              <w:rPr/>
            </w:pPr>
            <w:r>
              <w:rPr>
                <w:sz w:val="17"/>
              </w:rPr>
              <w:t>Mantener solo las categorías superadas y revisar alertas durante los primeros servicios.</w:t>
            </w:r>
          </w:p>
        </w:tc>
        <w:tc>
          <w:tcPr>
            <w:cnfStyle w:val="000000010000"/>
            <w:tcW w:w="3024" w:type="dxa"/>
            <w:tcMar>
              <w:top w:w="100" w:type="dxa"/>
              <w:bottom w:w="100" w:type="dxa"/>
            </w:tcMar>
            <w:vAlign w:val="center"/>
          </w:tcPr>
          <w:p w14:paraId="0000006F">
            <w:pPr>
              <w:spacing w:after="0"/>
              <w:rPr/>
            </w:pPr>
            <w:r>
              <w:rPr>
                <w:sz w:val="17"/>
              </w:rPr>
              <w:t>Ante una incidencia crítica, volver inmediatamente a solo lectura.</w:t>
            </w:r>
          </w:p>
        </w:tc>
      </w:tr>
    </w:tbl>
    <w:p w14:paraId="00000070">
      <w:pPr>
        <w:pStyle w:val="Heading1"/>
        <w:keepNext w:val="on"/>
        <w:rPr/>
      </w:pPr>
      <w:r>
        <w:t>8 Qué no debe frenar el proyecto</w:t>
      </w:r>
    </w:p>
    <w:p w14:paraId="00000071">
      <w:pPr>
        <w:pStyle w:val="ListBullet"/>
        <w:spacing w:after="60"/>
        <w:ind w:left="346" w:hanging="202"/>
        <w:rPr/>
      </w:pPr>
      <w:r>
        <w:t>El número exacto de pruebas cerradas en un PDF.</w:t>
      </w:r>
    </w:p>
    <w:p w14:paraId="00000072">
      <w:pPr>
        <w:pStyle w:val="ListBullet"/>
        <w:spacing w:after="60"/>
        <w:ind w:left="346" w:hanging="202"/>
        <w:rPr/>
      </w:pPr>
      <w:r>
        <w:t>La etiqueta utilizada para una prueba pendiente, siempre que la función permanezca desactivada.</w:t>
      </w:r>
    </w:p>
    <w:p w14:paraId="00000073">
      <w:pPr>
        <w:pStyle w:val="ListBullet"/>
        <w:spacing w:after="60"/>
        <w:ind w:left="346" w:hanging="202"/>
        <w:rPr/>
      </w:pPr>
      <w:r>
        <w:t>La llamada al camarero, escandallos, inventarios o traspasos si el restaurante confirma que no los utilizará inicialmente.</w:t>
      </w:r>
    </w:p>
    <w:p w14:paraId="00000074">
      <w:pPr>
        <w:pStyle w:val="ListBullet"/>
        <w:spacing w:after="60"/>
        <w:ind w:left="346" w:hanging="202"/>
        <w:rPr/>
      </w:pPr>
      <w:r>
        <w:t>Tener una captura exhaustiva de cada lectura o consulta sin riesgo económico.</w:t>
      </w:r>
    </w:p>
    <w:p w14:paraId="00000075">
      <w:pPr>
        <w:pStyle w:val="ListBullet"/>
        <w:spacing w:after="60"/>
        <w:ind w:left="346" w:hanging="202"/>
        <w:rPr/>
      </w:pPr>
      <w:r>
        <w:t>Reescribir documentos anteriores para corregir frases que no afectan al programa.</w:t>
      </w:r>
    </w:p>
    <w:p w14:paraId="00000076">
      <w:pPr>
        <w:pStyle w:val="Heading1"/>
        <w:keepNext w:val="on"/>
        <w:rPr/>
      </w:pPr>
      <w:r>
        <w:t>9 Condiciones para considerar terminada la integración</w:t>
      </w:r>
    </w:p>
    <w:p w14:paraId="00000077">
      <w:pPr>
        <w:spacing w:after="80"/>
        <w:ind w:left="259" w:hanging="259"/>
        <w:rPr/>
      </w:pPr>
      <w:r>
        <w:rPr>
          <w:rFonts w:ascii="DejaVu Sans" w:hAnsi="DejaVu Sans"/>
        </w:rPr>
        <w:t xml:space="preserve">☐ </w:t>
      </w:r>
      <w:r>
        <w:t>La web y BDP comparten los mismos identificadores y datos para las operaciones diarias elegidas.</w:t>
      </w:r>
    </w:p>
    <w:p w14:paraId="00000078">
      <w:pPr>
        <w:spacing w:after="80"/>
        <w:ind w:left="259" w:hanging="259"/>
        <w:rPr/>
      </w:pPr>
      <w:r>
        <w:rPr>
          <w:rFonts w:ascii="DejaVu Sans" w:hAnsi="DejaVu Sans"/>
        </w:rPr>
        <w:t xml:space="preserve">☐ </w:t>
      </w:r>
      <w:r>
        <w:t>Los reintentos y reinicios no duplican comandas, cobros, facturas ni movimientos de stock.</w:t>
      </w:r>
    </w:p>
    <w:p w14:paraId="00000079">
      <w:pPr>
        <w:spacing w:after="80"/>
        <w:ind w:left="259" w:hanging="259"/>
        <w:rPr/>
      </w:pPr>
      <w:r>
        <w:rPr>
          <w:rFonts w:ascii="DejaVu Sans" w:hAnsi="DejaVu Sans"/>
        </w:rPr>
        <w:t xml:space="preserve">☐ </w:t>
      </w:r>
      <w:r>
        <w:t>Los errores son visibles y dejan una operación pendiente o bloqueada; nunca se ocultan.</w:t>
      </w:r>
    </w:p>
    <w:p w14:paraId="0000007A">
      <w:pPr>
        <w:spacing w:after="80"/>
        <w:ind w:left="259" w:hanging="259"/>
        <w:rPr/>
      </w:pPr>
      <w:r>
        <w:rPr>
          <w:rFonts w:ascii="DejaVu Sans" w:hAnsi="DejaVu Sans"/>
        </w:rPr>
        <w:t xml:space="preserve">☐ </w:t>
      </w:r>
      <w:r>
        <w:t>Cada categoría puede activarse y desactivarse sin afectar a las demás.</w:t>
      </w:r>
    </w:p>
    <w:p w14:paraId="0000007B">
      <w:pPr>
        <w:spacing w:after="80"/>
        <w:ind w:left="259" w:hanging="259"/>
        <w:rPr/>
      </w:pPr>
      <w:r>
        <w:rPr>
          <w:rFonts w:ascii="DejaVu Sans" w:hAnsi="DejaVu Sans"/>
        </w:rPr>
        <w:t xml:space="preserve">☐ </w:t>
      </w:r>
      <w:r>
        <w:t>Existe un retorno inmediato a solo lectura.</w:t>
      </w:r>
    </w:p>
    <w:p w14:paraId="0000007C">
      <w:pPr>
        <w:spacing w:after="80"/>
        <w:ind w:left="259" w:hanging="259"/>
        <w:rPr/>
      </w:pPr>
      <w:r>
        <w:rPr>
          <w:rFonts w:ascii="DejaVu Sans" w:hAnsi="DejaVu Sans"/>
        </w:rPr>
        <w:t xml:space="preserve">☐ </w:t>
      </w:r>
      <w:r>
        <w:t>Las funciones no probadas están desactivadas y no aparecen como disponibles para el propietario.</w:t>
      </w:r>
    </w:p>
    <w:p w14:paraId="0000007D">
      <w:pPr>
        <w:spacing w:after="80"/>
        <w:ind w:left="259" w:hanging="259"/>
        <w:rPr/>
      </w:pPr>
      <w:r>
        <w:rPr>
          <w:rFonts w:ascii="DejaVu Sans" w:hAnsi="DejaVu Sans"/>
        </w:rPr>
        <w:t xml:space="preserve">☐ </w:t>
      </w:r>
      <w:r>
        <w:t>Guillermo, Wan y el restaurante conocen el procedimiento de incidencia y quién actúa en cada caso.</w:t>
      </w:r>
    </w:p>
    <w:p w14:paraId="0000007E">
      <w:pPr>
        <w:pStyle w:val="Heading1"/>
        <w:keepNext w:val="on"/>
        <w:rPr/>
      </w:pPr>
      <w:r>
        <w:t>10 Próxima acción</w:t>
      </w:r>
    </w:p>
    <w:p w14:paraId="0000007F">
      <w:r>
        <w:rPr>
          <w:b/>
        </w:rPr>
        <w:t xml:space="preserve">Guillermo: </w:t>
      </w:r>
      <w:r>
        <w:t>enviar la consulta del apartado 2 a BDP y obtener del restaurante las respuestas del apartado 3.</w:t>
      </w:r>
    </w:p>
    <w:p w14:paraId="00000080">
      <w:r>
        <w:rPr>
          <w:b/>
        </w:rPr>
        <w:t xml:space="preserve">Wan: </w:t>
      </w:r>
      <w:r>
        <w:t>mientras llega la respuesta de BDP, preparar las pruebas críticas, revisar los permisos por categoría y dejar desactivadas las funciones que dependan de la licencia completa.</w:t>
      </w:r>
    </w:p>
    <w:p w14:paraId="00000081">
      <w:r>
        <w:rPr>
          <w:b/>
        </w:rPr>
        <w:t xml:space="preserve">Ambos: </w:t>
      </w:r>
      <w:r>
        <w:t>cuando BDP confirme las licencias, ejecutar primero las pruebas locales críticas y después seguir el piloto por etapas. No dedicar más tiempo a corregir recuentos o redacciones si no cambian el comportamiento del sistema.</w:t>
      </w:r>
    </w:p>
    <w:sectPr>
      <w:footerReference w:type="default" r:id="rId10"/>
      <w:pgSz w:w="12240" w:h="15840"/>
      <w:pgMar w:top="1037" w:right="1181" w:bottom="1037" w:left="118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Aptos"/>
  <w:font w:name="DejaVu Sans"/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82">
    <w:pPr>
      <w:spacing w:after="0"/>
      <w:rPr/>
    </w:pPr>
    <w:r>
      <w:rPr>
        <w:color w:val="595959"/>
        <w:sz w:val="17"/>
      </w:rPr>
      <w:t>Integración web con BDP   |   Guía conjunta de trabajo</w:t>
    </w:r>
  </w:p>
  <w:p w14:paraId="00000083">
    <w:pPr>
      <w:jc w:val="right"/>
      <w:rPr/>
    </w:pPr>
    <w:r>
      <w:rPr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20" w:after="140"/>
    </w:pPr>
    <w:rPr>
      <w:rFonts w:asciiTheme="majorHAnsi" w:cstheme="majorBidi" w:eastAsiaTheme="majorEastAsia" w:hAnsiTheme="majorHAns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20" w:after="100"/>
    </w:pPr>
    <w:rPr>
      <w:rFonts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after="200" w:line="240" w:lineRule="auto"/>
      <w:contextualSpacing w:val="on"/>
    </w:pPr>
    <w:rPr>
      <w:rFonts w:asciiTheme="majorHAnsi" w:cstheme="majorBidi" w:eastAsiaTheme="majorEastAsia" w:hAnsiTheme="majorHAnsi"/>
      <w:b/>
      <w:color w:val="000000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footer" Target="footer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práctico de avance para la integración web con BDP</dc:title>
  <dc:description>generated by python-docx</dc:description>
  <dc:subject>Guía conjunta para Guillermo y Wan</dc:subject>
  <dc:creator>Guillermo García Sáez</dc:creator>
  <cp:lastModifiedBy>Guillermo García </cp:lastModifiedBy>
</cp:coreProperties>
</file>