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footer1.xml" ContentType="application/vnd.openxmlformats-officedocument.wordprocessingml.footer+xml"/>
  <Override PartName="/word/stylesWithEffects.xml" ContentType="application/vnd.ms-word.stylesWithEffect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1">
      <w:pPr>
        <w:pStyle w:val="Title"/>
        <w:jc w:val="left"/>
        <w:rPr/>
      </w:pPr>
      <w:r>
        <w:t>Correcciones necesarias antes del piloto de integración con BDP</w:t>
      </w:r>
    </w:p>
    <w:p w14:paraId="00000002">
      <w:pPr>
        <w:spacing w:after="260"/>
        <w:rPr/>
      </w:pPr>
      <w:r>
        <w:rPr>
          <w:rFonts w:ascii="Arial" w:hAnsi="Arial"/>
          <w:color w:val="5a5a5a"/>
          <w:sz w:val="21"/>
        </w:rPr>
        <w:t>Guía de revisión dirigida a Wan · 26 de octubre de 2026</w:t>
      </w:r>
    </w:p>
    <w:p w14:paraId="00000003">
      <w:pPr>
        <w:spacing w:after="140" w:line="269" w:lineRule="auto"/>
        <w:rPr/>
      </w:pPr>
      <w:r>
        <w:rPr>
          <w:rFonts w:ascii="Arial" w:hAnsi="Arial"/>
          <w:b/>
        </w:rPr>
        <w:t xml:space="preserve">Conclusión. </w:t>
      </w:r>
      <w:r>
        <w:rPr>
          <w:rFonts w:ascii="Arial" w:hAnsi="Arial"/>
        </w:rPr>
        <w:t>El desarrollo sigue una dirección adecuada, pero todavía no está listo para activar el modo automático en el restaurante. Hay funciones bien implementadas cuya validación se ha cerrado antes de disponer de la licencia, la configuración o la prueba que exige cada caso. Hasta corregir los diez puntos de este documento, producción debe permanecer en solo lectura.</w:t>
      </w:r>
    </w:p>
    <w:p w14:paraId="00000004">
      <w:pPr>
        <w:pStyle w:val="Heading1"/>
        <w:rPr/>
      </w:pPr>
      <w:r>
        <w:t>Qué está bien planteado</w:t>
      </w:r>
    </w:p>
    <w:p w14:paraId="00000005">
      <w:pPr>
        <w:pStyle w:val="ListBullet"/>
        <w:spacing w:after="50" w:line="252" w:lineRule="auto"/>
        <w:rPr/>
      </w:pPr>
      <w:r>
        <w:rPr>
          <w:rFonts w:ascii="Arial" w:hAnsi="Arial"/>
        </w:rPr>
        <w:t>El modo de solo lectura por defecto y la decisión de no activar escrituras contra el BDP real sin autorización.</w:t>
      </w:r>
    </w:p>
    <w:p w14:paraId="00000006">
      <w:pPr>
        <w:pStyle w:val="ListBullet"/>
        <w:spacing w:after="50" w:line="252" w:lineRule="auto"/>
        <w:rPr/>
      </w:pPr>
      <w:r>
        <w:rPr>
          <w:rFonts w:ascii="Arial" w:hAnsi="Arial"/>
        </w:rPr>
        <w:t>El snapshot previo, la copia antes de escribir, la auditoría, la idempotencia y el bloqueo de operaciones simultáneas sobre una misma comanda.</w:t>
      </w:r>
    </w:p>
    <w:p w14:paraId="00000007">
      <w:pPr>
        <w:pStyle w:val="ListBullet"/>
        <w:spacing w:after="50" w:line="252" w:lineRule="auto"/>
        <w:rPr/>
      </w:pPr>
      <w:r>
        <w:rPr>
          <w:rFonts w:ascii="Arial" w:hAnsi="Arial"/>
        </w:rPr>
        <w:t>La relectura de BDP después de una escritura o una respuesta ambigua, en lugar de reenviar a ciegas.</w:t>
      </w:r>
    </w:p>
    <w:p w14:paraId="00000008">
      <w:pPr>
        <w:pStyle w:val="ListBullet"/>
        <w:spacing w:after="50" w:line="252" w:lineRule="auto"/>
        <w:rPr/>
      </w:pPr>
      <w:r>
        <w:rPr>
          <w:rFonts w:ascii="Arial" w:hAnsi="Arial"/>
        </w:rPr>
        <w:t>El botón para volver a solo lectura, la separación entre lectura y escritura y la prevención de procesos solapados.</w:t>
      </w:r>
    </w:p>
    <w:p w14:paraId="00000009">
      <w:pPr>
        <w:pStyle w:val="ListBullet"/>
        <w:spacing w:after="50" w:line="252" w:lineRule="auto"/>
        <w:rPr/>
      </w:pPr>
      <w:r>
        <w:rPr>
          <w:rFonts w:ascii="Arial" w:hAnsi="Arial"/>
        </w:rPr>
        <w:t>La preparación de procesos automáticos para comandas, avisos, maestros, clientes, plano, documentos y albaranes.</w:t>
      </w:r>
    </w:p>
    <w:p w14:paraId="0000000A">
      <w:pPr>
        <w:pStyle w:val="ListBullet"/>
        <w:spacing w:after="50" w:line="252" w:lineRule="auto"/>
        <w:rPr/>
      </w:pPr>
      <w:r>
        <w:rPr>
          <w:rFonts w:ascii="Arial" w:hAnsi="Arial"/>
        </w:rPr>
        <w:t>El uso del entorno local antes de tocar el restaurante. Es la forma correcta de reducir riesgos, siempre que las pruebas se ejecuten con la licencia y la configuración necesarias.</w:t>
      </w:r>
    </w:p>
    <w:p w14:paraId="0000000B">
      <w:pPr>
        <w:pStyle w:val="Heading1"/>
        <w:rPr/>
      </w:pPr>
      <w:r>
        <w:t>Regla para declarar una prueba cerrada</w:t>
      </w:r>
    </w:p>
    <w:p w14:paraId="0000000C">
      <w:pPr>
        <w:spacing w:after="140"/>
        <w:rPr/>
      </w:pPr>
      <w:r>
        <w:rPr>
          <w:rFonts w:ascii="Arial" w:hAnsi="Arial"/>
        </w:rPr>
        <w:t>Una función programada no equivale a una función demostrada. Una ficha solo puede figurar como cerrada cuando el entorno cumple sus requisitos, se ejecuta la operación real, se obtiene el resultado esperado en la web y en BDP y se conserva la evidencia. Si falta algo, usa uno de estos estados: pendiente de licencia, pendiente de configuración, pendiente de prueba local o pendiente de piloto.</w:t>
      </w:r>
    </w:p>
    <w:tbl>
      <w:tblPr>
        <w:tblpPr w:leftFromText="187" w:rightFromText="187" w:topFromText="0" w:bottomFromText="0" w:vertAnchor="page" w:horzAnchor="page" w:tblpX="672" w:tblpY="9964"/>
        <w:tblOverlap w:val="never"/>
        <w:tblW w:w="10694" w:type="dxa"/>
        <w:jc w:val="center"/>
        <w:tblInd w:w="1390" w:type="dxa"/>
        <w:tblLayout w:type="fixed"/>
        <w:tblLook w:val="04A0"/>
      </w:tblPr>
      <w:tblGrid>
        <w:gridCol w:w="3960"/>
        <w:gridCol w:w="6733"/>
      </w:tblGrid>
      <w:tr>
        <w:trPr>
          <w:trHeight w:val="436" w:hRule="atLeast"/>
          <w:tblHeader w:val="on"/>
        </w:trPr>
        <w:tc>
          <w:tcPr>
            <w:cnfStyle w:val="101000000000"/>
            <w:tcW w:w="4997"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0D">
            <w:r>
              <w:rPr>
                <w:rFonts w:ascii="Arial" w:hAnsi="Arial"/>
                <w:b/>
                <w:color w:val="ffffff"/>
                <w:sz w:val="19"/>
              </w:rPr>
              <w:t>Estado</w:t>
            </w:r>
          </w:p>
        </w:tc>
        <w:tc>
          <w:tcPr>
            <w:cnfStyle w:val="100000000000"/>
            <w:tcW w:w="4997"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0E">
            <w:r>
              <w:rPr>
                <w:rFonts w:ascii="Arial" w:hAnsi="Arial"/>
                <w:b/>
                <w:color w:val="ffffff"/>
                <w:sz w:val="19"/>
              </w:rPr>
              <w:t>Qué significa</w:t>
            </w:r>
          </w:p>
        </w:tc>
      </w:tr>
      <w:tr>
        <w:trPr>
          <w:trHeight w:val="423" w:hRule="atLeast"/>
        </w:trPr>
        <w:tc>
          <w:tcPr>
            <w:cnfStyle w:val="001000100000"/>
            <w:tcW w:w="2232"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0F">
            <w:r>
              <w:rPr>
                <w:rFonts w:ascii="Arial" w:hAnsi="Arial"/>
                <w:b/>
                <w:sz w:val="18"/>
              </w:rPr>
              <w:t>Cerrada</w:t>
            </w:r>
          </w:p>
        </w:tc>
        <w:tc>
          <w:tcPr>
            <w:cnfStyle w:val="000000100000"/>
            <w:tcW w:w="8496"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10">
            <w:r>
              <w:rPr>
                <w:rFonts w:ascii="Arial" w:hAnsi="Arial"/>
                <w:sz w:val="18"/>
              </w:rPr>
              <w:t>Prueba real completada y evidencia guardada.</w:t>
            </w:r>
          </w:p>
        </w:tc>
      </w:tr>
      <w:tr>
        <w:trPr>
          <w:trHeight w:val="423" w:hRule="atLeast"/>
        </w:trPr>
        <w:tc>
          <w:tcPr>
            <w:cnfStyle w:val="001000010000"/>
            <w:tcW w:w="2232"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11">
            <w:r>
              <w:rPr>
                <w:rFonts w:ascii="Arial" w:hAnsi="Arial"/>
                <w:b/>
                <w:sz w:val="18"/>
              </w:rPr>
              <w:t>Pendiente</w:t>
            </w:r>
          </w:p>
        </w:tc>
        <w:tc>
          <w:tcPr>
            <w:cnfStyle w:val="000000010000"/>
            <w:tcW w:w="8496"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12">
            <w:r>
              <w:rPr>
                <w:rFonts w:ascii="Arial" w:hAnsi="Arial"/>
                <w:sz w:val="18"/>
              </w:rPr>
              <w:t>La función puede estar implementada, pero falta un requisito o una comprobación.</w:t>
            </w:r>
          </w:p>
        </w:tc>
      </w:tr>
      <w:tr>
        <w:trPr>
          <w:trHeight w:val="646" w:hRule="atLeast"/>
        </w:trPr>
        <w:tc>
          <w:tcPr>
            <w:cnfStyle w:val="001000100000"/>
            <w:tcW w:w="2232"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13">
            <w:r>
              <w:rPr>
                <w:rFonts w:ascii="Arial" w:hAnsi="Arial"/>
                <w:b/>
                <w:sz w:val="18"/>
              </w:rPr>
              <w:t>Límite confirmado</w:t>
            </w:r>
          </w:p>
        </w:tc>
        <w:tc>
          <w:tcPr>
            <w:cnfStyle w:val="000000100000"/>
            <w:tcW w:w="8496" w:type="dxa"/>
            <w:tcBorders>
              <w:top w:val="single" w:color="d9d9d9" w:sz="6" w:space="0"/>
              <w:left w:val="single" w:color="d9d9d9" w:sz="6" w:space="0"/>
              <w:bottom w:val="single" w:color="d9d9d9" w:sz="6" w:space="0"/>
              <w:right w:val="single" w:color="d9d9d9" w:sz="6" w:space="0"/>
              <w:insideH w:val="single" w:color="d9d9d9" w:sz="6" w:space="0"/>
              <w:insideV w:val="single" w:color="d9d9d9" w:sz="6" w:space="0"/>
            </w:tcBorders>
            <w:tcMar>
              <w:top w:w="100" w:type="dxa"/>
              <w:bottom w:w="100" w:type="dxa"/>
            </w:tcMar>
            <w:vAlign w:val="center"/>
          </w:tcPr>
          <w:p w14:paraId="00000014">
            <w:r>
              <w:rPr>
                <w:rFonts w:ascii="Arial" w:hAnsi="Arial"/>
                <w:sz w:val="18"/>
              </w:rPr>
              <w:t>BDP o su documentación confirman que la operación no está disponible en esa versión o configuración.</w:t>
            </w:r>
          </w:p>
        </w:tc>
      </w:tr>
    </w:tbl>
    <w:p w14:paraId="00000015">
      <w:pPr>
        <w:pStyle w:val="Heading1"/>
        <w:spacing w:before="280"/>
        <w:rPr/>
      </w:pPr>
      <w:r>
        <w:t>Correcciones necesarias</w:t>
      </w:r>
    </w:p>
    <w:p w14:paraId="00000016">
      <w:pPr>
        <w:pStyle w:val="Heading2"/>
        <w:keepNext w:val="on"/>
        <w:spacing w:before="180" w:after="80"/>
        <w:rPr/>
      </w:pPr>
      <w:r>
        <w:rPr>
          <w:rFonts w:ascii="Arial" w:hAnsi="Arial"/>
          <w:b/>
          <w:color w:val="000000"/>
          <w:sz w:val="25"/>
        </w:rPr>
        <w:t>1  La licencia de pago afecta a más de dos operaciones</w:t>
      </w:r>
    </w:p>
    <w:p w14:paraId="00000017">
      <w:pPr>
        <w:keepNext w:val="on"/>
        <w:spacing w:after="60" w:line="259" w:lineRule="auto"/>
        <w:rPr/>
      </w:pPr>
      <w:r>
        <w:rPr>
          <w:rFonts w:ascii="Arial" w:hAnsi="Arial"/>
          <w:b/>
        </w:rPr>
        <w:t xml:space="preserve">Fallo detectado </w:t>
      </w:r>
      <w:r>
        <w:rPr>
          <w:rFonts w:ascii="Arial" w:hAnsi="Arial"/>
        </w:rPr>
        <w:t>El informe limita el efecto de la licencia de pago a añadir pagos y facturar. El manual de BDP indica más restricciones en WebLinkRestAPI gratuito: no permite añadir propinas, añadir pagos, facturar una comanda existente, consultar salones y mesas ni llamar al camarero. Además, GetOrder solo devuelve el estado y CreateOrder no permite actualizar una comanda existente.</w:t>
      </w:r>
    </w:p>
    <w:p w14:paraId="00000018">
      <w:pPr>
        <w:keepNext w:val="on"/>
        <w:spacing w:after="60" w:line="259" w:lineRule="auto"/>
        <w:rPr/>
      </w:pPr>
      <w:r>
        <w:rPr>
          <w:rFonts w:ascii="Arial" w:hAnsi="Arial"/>
          <w:b/>
        </w:rPr>
        <w:t xml:space="preserve">Solución correcta </w:t>
      </w:r>
      <w:r>
        <w:rPr>
          <w:rFonts w:ascii="Arial" w:hAnsi="Arial"/>
        </w:rPr>
        <w:t>Todas las pruebas afectadas deben pasar a pendiente de licencia. Una prueba realizada con DEMO o con la edición gratuita demuestra el comportamiento del código, pero no demuestra el flujo real que se usará en producción.</w:t>
      </w:r>
    </w:p>
    <w:p w14:paraId="00000019">
      <w:pPr>
        <w:keepNext w:val="on"/>
        <w:spacing w:after="60" w:line="259" w:lineRule="auto"/>
        <w:rPr/>
      </w:pPr>
      <w:r>
        <w:rPr>
          <w:rFonts w:ascii="Arial" w:hAnsi="Arial"/>
          <w:b/>
        </w:rPr>
        <w:t xml:space="preserve">Cómo corregirlo </w:t>
      </w:r>
      <w:r>
        <w:rPr>
          <w:rFonts w:ascii="Arial" w:hAnsi="Arial"/>
        </w:rPr>
        <w:t>Activa WebLinkRestAPI de pago en el entorno local o consigue un entorno de pago controlado. Repite allí las pruebas de propinas, lectura completa de comandas, actualización de comandas, pagos, facturación, salones y mesas y llamada al camarero. Guarda la petición, la respuesta y el resultado visible en BDP.</w:t>
      </w:r>
    </w:p>
    <w:p w14:paraId="0000001A">
      <w:pPr>
        <w:keepNext w:val="on"/>
        <w:spacing w:after="60" w:line="259" w:lineRule="auto"/>
        <w:rPr/>
      </w:pPr>
      <w:r>
        <w:rPr>
          <w:rFonts w:ascii="Arial" w:hAnsi="Arial"/>
          <w:b/>
        </w:rPr>
        <w:t xml:space="preserve">Qué necesitas </w:t>
      </w:r>
      <w:r>
        <w:rPr>
          <w:rFonts w:ascii="Arial" w:hAnsi="Arial"/>
        </w:rPr>
        <w:t>Una suscripción de pago del servicio 84, confirmada por BDP, y acceso al BDP local.</w:t>
      </w:r>
    </w:p>
    <w:p w14:paraId="0000001B">
      <w:pPr>
        <w:spacing w:after="100" w:line="259" w:lineRule="auto"/>
        <w:rPr/>
      </w:pPr>
      <w:r>
        <w:rPr>
          <w:rFonts w:ascii="Arial" w:hAnsi="Arial"/>
          <w:b/>
        </w:rPr>
        <w:t xml:space="preserve">Criterio de cierre </w:t>
      </w:r>
      <w:r>
        <w:rPr>
          <w:rFonts w:ascii="Arial" w:hAnsi="Arial"/>
        </w:rPr>
        <w:t>El diagnóstico identifica la edición de pago y todas las operaciones afectadas se ejecutan sin los límites 301010 y 300041.</w:t>
      </w:r>
    </w:p>
    <w:p w14:paraId="0000001C">
      <w:pPr>
        <w:pStyle w:val="Heading2"/>
        <w:keepNext w:val="on"/>
        <w:spacing w:before="180" w:after="80"/>
        <w:rPr/>
      </w:pPr>
      <w:r>
        <w:rPr>
          <w:rFonts w:ascii="Arial" w:hAnsi="Arial"/>
          <w:b/>
          <w:color w:val="000000"/>
          <w:sz w:val="25"/>
        </w:rPr>
        <w:t>2  D01 no está cerrada</w:t>
      </w:r>
    </w:p>
    <w:p w14:paraId="0000001D">
      <w:pPr>
        <w:keepNext w:val="on"/>
        <w:spacing w:after="60" w:line="259" w:lineRule="auto"/>
        <w:rPr/>
      </w:pPr>
      <w:r>
        <w:rPr>
          <w:rFonts w:ascii="Arial" w:hAnsi="Arial"/>
          <w:b/>
        </w:rPr>
        <w:t xml:space="preserve">Fallo detectado </w:t>
      </w:r>
      <w:r>
        <w:rPr>
          <w:rFonts w:ascii="Arial" w:hAnsi="Arial"/>
        </w:rPr>
        <w:t>D01 figura como cerrada aunque el diagnóstico devuelve sin licencia. Si la prueba comprueba licencia 84 activa, esa respuesta no cumple el resultado esperado.</w:t>
      </w:r>
    </w:p>
    <w:p w14:paraId="0000001E">
      <w:pPr>
        <w:keepNext w:val="on"/>
        <w:spacing w:after="60" w:line="259" w:lineRule="auto"/>
        <w:rPr/>
      </w:pPr>
      <w:r>
        <w:rPr>
          <w:rFonts w:ascii="Arial" w:hAnsi="Arial"/>
          <w:b/>
        </w:rPr>
        <w:t xml:space="preserve">Solución correcta </w:t>
      </w:r>
      <w:r>
        <w:rPr>
          <w:rFonts w:ascii="Arial" w:hAnsi="Arial"/>
        </w:rPr>
        <w:t>D01 debe quedar pendiente de licencia hasta que el mismo entorno usado para las pruebas reconozca una suscripción 84 válida. El informe también debe indicar si es gratuita o de pago.</w:t>
      </w:r>
    </w:p>
    <w:p w14:paraId="0000001F">
      <w:pPr>
        <w:keepNext w:val="on"/>
        <w:spacing w:after="60" w:line="259" w:lineRule="auto"/>
        <w:rPr/>
      </w:pPr>
      <w:r>
        <w:rPr>
          <w:rFonts w:ascii="Arial" w:hAnsi="Arial"/>
          <w:b/>
        </w:rPr>
        <w:t xml:space="preserve">Cómo corregirlo </w:t>
      </w:r>
      <w:r>
        <w:rPr>
          <w:rFonts w:ascii="Arial" w:hAnsi="Arial"/>
        </w:rPr>
        <w:t>Activa la suscripción, ejecuta GetApplicationVersion para la aplicación 84 y conserva la respuesta completa. Después comprueba salud, inicio de sesión y una lectura autenticada.</w:t>
      </w:r>
    </w:p>
    <w:p w14:paraId="00000020">
      <w:pPr>
        <w:keepNext w:val="on"/>
        <w:spacing w:after="60" w:line="259" w:lineRule="auto"/>
        <w:rPr/>
      </w:pPr>
      <w:r>
        <w:rPr>
          <w:rFonts w:ascii="Arial" w:hAnsi="Arial"/>
          <w:b/>
        </w:rPr>
        <w:t xml:space="preserve">Qué necesitas </w:t>
      </w:r>
      <w:r>
        <w:rPr>
          <w:rFonts w:ascii="Arial" w:hAnsi="Arial"/>
        </w:rPr>
        <w:t>Suscripción 84 activa. Para las pruebas funcionales posteriores, debe ser la edición de pago.</w:t>
      </w:r>
    </w:p>
    <w:p w14:paraId="00000021">
      <w:pPr>
        <w:spacing w:after="100" w:line="259" w:lineRule="auto"/>
        <w:rPr/>
      </w:pPr>
      <w:r>
        <w:rPr>
          <w:rFonts w:ascii="Arial" w:hAnsi="Arial"/>
          <w:b/>
        </w:rPr>
        <w:t xml:space="preserve">Criterio de cierre </w:t>
      </w:r>
      <w:r>
        <w:rPr>
          <w:rFonts w:ascii="Arial" w:hAnsi="Arial"/>
        </w:rPr>
        <w:t>La respuesta muestra la aplicación 84 activa y su versión, y el acceso autenticado funciona en el mismo entorno.</w:t>
      </w:r>
    </w:p>
    <w:p w14:paraId="00000022">
      <w:pPr>
        <w:pStyle w:val="Heading2"/>
        <w:keepNext w:val="on"/>
        <w:spacing w:before="180" w:after="80"/>
        <w:rPr/>
      </w:pPr>
      <w:r>
        <w:rPr>
          <w:rFonts w:ascii="Arial" w:hAnsi="Arial"/>
          <w:b/>
          <w:color w:val="000000"/>
          <w:sz w:val="25"/>
        </w:rPr>
        <w:t>3  Modificar comandas no debe declararse imposible</w:t>
      </w:r>
    </w:p>
    <w:p w14:paraId="00000023">
      <w:pPr>
        <w:keepNext w:val="on"/>
        <w:spacing w:after="60" w:line="259" w:lineRule="auto"/>
        <w:rPr/>
      </w:pPr>
      <w:r>
        <w:rPr>
          <w:rFonts w:ascii="Arial" w:hAnsi="Arial"/>
          <w:b/>
        </w:rPr>
        <w:t xml:space="preserve">Fallo detectado </w:t>
      </w:r>
      <w:r>
        <w:rPr>
          <w:rFonts w:ascii="Arial" w:hAnsi="Arial"/>
        </w:rPr>
        <w:t>D05, D06 y D07 se han cerrado como límite del TPV. Sin embargo, el manual dice que la actualización de una comanda existente está bloqueada en la edición gratuita y remite expresamente a la versión de pago. Esto apunta a una limitación de licencia, no a la inexistencia de la operación.</w:t>
      </w:r>
    </w:p>
    <w:p w14:paraId="00000024">
      <w:pPr>
        <w:keepNext w:val="on"/>
        <w:spacing w:after="60" w:line="259" w:lineRule="auto"/>
        <w:rPr/>
      </w:pPr>
      <w:r>
        <w:rPr>
          <w:rFonts w:ascii="Arial" w:hAnsi="Arial"/>
          <w:b/>
        </w:rPr>
        <w:t xml:space="preserve">Solución correcta </w:t>
      </w:r>
      <w:r>
        <w:rPr>
          <w:rFonts w:ascii="Arial" w:hAnsi="Arial"/>
        </w:rPr>
        <w:t>Cambia estas fichas a pendiente de licencia y prueba de nuevo con WebLinkRestAPI de pago.</w:t>
      </w:r>
    </w:p>
    <w:p w14:paraId="00000025">
      <w:pPr>
        <w:keepNext w:val="on"/>
        <w:spacing w:after="60" w:line="259" w:lineRule="auto"/>
        <w:rPr/>
      </w:pPr>
      <w:r>
        <w:rPr>
          <w:rFonts w:ascii="Arial" w:hAnsi="Arial"/>
          <w:b/>
        </w:rPr>
        <w:t xml:space="preserve">Cómo corregirlo </w:t>
      </w:r>
      <w:r>
        <w:rPr>
          <w:rFonts w:ascii="Arial" w:hAnsi="Arial"/>
        </w:rPr>
        <w:t>Sobre una comanda abierta, prueba por separado añadir una línea, cambiar una línea y retirarla usando el procedimiento de actualización de CreateOrder. Relee la comanda con GetOrder después de cada cambio y comprueba que no aparecen líneas duplicadas. Si falla con la edición de pago, entrega a BDP la petición y la respuesta exactas antes de declararlo límite.</w:t>
      </w:r>
    </w:p>
    <w:p w14:paraId="00000026">
      <w:pPr>
        <w:keepNext w:val="on"/>
        <w:spacing w:after="60" w:line="259" w:lineRule="auto"/>
        <w:rPr/>
      </w:pPr>
      <w:r>
        <w:rPr>
          <w:rFonts w:ascii="Arial" w:hAnsi="Arial"/>
          <w:b/>
        </w:rPr>
        <w:t xml:space="preserve">Qué necesitas </w:t>
      </w:r>
      <w:r>
        <w:rPr>
          <w:rFonts w:ascii="Arial" w:hAnsi="Arial"/>
        </w:rPr>
        <w:t>WebLinkRestAPI de pago, una comanda local abierta y artículos de prueba.</w:t>
      </w:r>
    </w:p>
    <w:p w14:paraId="00000027">
      <w:pPr>
        <w:spacing w:after="100" w:line="259" w:lineRule="auto"/>
        <w:rPr/>
      </w:pPr>
      <w:r>
        <w:rPr>
          <w:rFonts w:ascii="Arial" w:hAnsi="Arial"/>
          <w:b/>
        </w:rPr>
        <w:t xml:space="preserve">Criterio de cierre </w:t>
      </w:r>
      <w:r>
        <w:rPr>
          <w:rFonts w:ascii="Arial" w:hAnsi="Arial"/>
        </w:rPr>
        <w:t>Las tres operaciones quedan verificadas o BDP confirma por escrito una limitación concreta de la versión 36.2.</w:t>
      </w:r>
    </w:p>
    <w:p w14:paraId="00000028">
      <w:pPr>
        <w:pStyle w:val="Heading2"/>
        <w:keepNext w:val="on"/>
        <w:spacing w:before="180" w:after="80"/>
        <w:rPr/>
      </w:pPr>
      <w:r>
        <w:rPr>
          <w:rFonts w:ascii="Arial" w:hAnsi="Arial"/>
          <w:b/>
          <w:color w:val="000000"/>
          <w:sz w:val="25"/>
        </w:rPr>
        <w:t>4  D18d no prueba la emisión de una factura completa</w:t>
      </w:r>
    </w:p>
    <w:p w14:paraId="00000029">
      <w:pPr>
        <w:keepNext w:val="on"/>
        <w:spacing w:after="60" w:line="259" w:lineRule="auto"/>
        <w:rPr/>
      </w:pPr>
      <w:r>
        <w:rPr>
          <w:rFonts w:ascii="Arial" w:hAnsi="Arial"/>
          <w:b/>
        </w:rPr>
        <w:t xml:space="preserve">Fallo detectado </w:t>
      </w:r>
      <w:r>
        <w:rPr>
          <w:rFonts w:ascii="Arial" w:hAnsi="Arial"/>
        </w:rPr>
        <w:t>Comprobar que una factura ya existente se exporta con CIF y nombre solo demuestra la lectura del documento. No demuestra que la web pueda emitir una factura nueva con los datos fiscales enviados.</w:t>
      </w:r>
    </w:p>
    <w:p w14:paraId="0000002A">
      <w:pPr>
        <w:keepNext w:val="on"/>
        <w:spacing w:after="60" w:line="259" w:lineRule="auto"/>
        <w:rPr/>
      </w:pPr>
      <w:r>
        <w:rPr>
          <w:rFonts w:ascii="Arial" w:hAnsi="Arial"/>
          <w:b/>
        </w:rPr>
        <w:t xml:space="preserve">Solución correcta </w:t>
      </w:r>
      <w:r>
        <w:rPr>
          <w:rFonts w:ascii="Arial" w:hAnsi="Arial"/>
        </w:rPr>
        <w:t>D18d debe validar la escritura de los datos de facturación y su persistencia en el documento creado.</w:t>
      </w:r>
    </w:p>
    <w:p w14:paraId="0000002B">
      <w:pPr>
        <w:keepNext w:val="on"/>
        <w:spacing w:after="60" w:line="259" w:lineRule="auto"/>
        <w:rPr/>
      </w:pPr>
      <w:r>
        <w:rPr>
          <w:rFonts w:ascii="Arial" w:hAnsi="Arial"/>
          <w:b/>
        </w:rPr>
        <w:t xml:space="preserve">Cómo corregirlo </w:t>
      </w:r>
      <w:r>
        <w:rPr>
          <w:rFonts w:ascii="Arial" w:hAnsi="Arial"/>
        </w:rPr>
        <w:t>En el BDP local, factura una comanda de prueba todavía no facturada enviando InvoiceParameters y BillingDetails con nombre, dirección, código postal, población, TaxId y TaxType. Después recupera o exporta la factura y compara todos los campos con los enviados.</w:t>
      </w:r>
    </w:p>
    <w:p w14:paraId="0000002C">
      <w:pPr>
        <w:keepNext w:val="on"/>
        <w:spacing w:after="60" w:line="259" w:lineRule="auto"/>
        <w:rPr/>
      </w:pPr>
      <w:r>
        <w:rPr>
          <w:rFonts w:ascii="Arial" w:hAnsi="Arial"/>
          <w:b/>
        </w:rPr>
        <w:t xml:space="preserve">Qué necesitas </w:t>
      </w:r>
      <w:r>
        <w:rPr>
          <w:rFonts w:ascii="Arial" w:hAnsi="Arial"/>
        </w:rPr>
        <w:t>WebLinkRestAPI de pago para facturar una comanda existente y datos fiscales ficticios de prueba.</w:t>
      </w:r>
    </w:p>
    <w:p w14:paraId="0000002D">
      <w:pPr>
        <w:spacing w:after="100" w:line="259" w:lineRule="auto"/>
        <w:rPr/>
      </w:pPr>
      <w:r>
        <w:rPr>
          <w:rFonts w:ascii="Arial" w:hAnsi="Arial"/>
          <w:b/>
        </w:rPr>
        <w:t xml:space="preserve">Criterio de cierre </w:t>
      </w:r>
      <w:r>
        <w:rPr>
          <w:rFonts w:ascii="Arial" w:hAnsi="Arial"/>
        </w:rPr>
        <w:t>Se obtiene una única factura y todos sus datos fiscales coinciden con la solicitud.</w:t>
      </w:r>
    </w:p>
    <w:p w14:paraId="0000002E">
      <w:pPr>
        <w:pStyle w:val="Heading2"/>
        <w:keepNext w:val="on"/>
        <w:spacing w:before="180" w:after="80"/>
        <w:rPr/>
      </w:pPr>
      <w:r>
        <w:rPr>
          <w:rFonts w:ascii="Arial" w:hAnsi="Arial"/>
          <w:b/>
          <w:color w:val="000000"/>
          <w:sz w:val="25"/>
        </w:rPr>
        <w:t>5  Formas de pago y empleados todavía no se sincronizan solos</w:t>
      </w:r>
    </w:p>
    <w:p w14:paraId="0000002F">
      <w:pPr>
        <w:keepNext w:val="on"/>
        <w:spacing w:after="60" w:line="259" w:lineRule="auto"/>
        <w:rPr/>
      </w:pPr>
      <w:r>
        <w:rPr>
          <w:rFonts w:ascii="Arial" w:hAnsi="Arial"/>
          <w:b/>
        </w:rPr>
        <w:t xml:space="preserve">Fallo detectado </w:t>
      </w:r>
      <w:r>
        <w:rPr>
          <w:rFonts w:ascii="Arial" w:hAnsi="Arial"/>
        </w:rPr>
        <w:t>El informe dice que se consultan cuando alguien abre la pantalla o fuerza la comparación. Eso es una consulta manual, no una sincronización automática.</w:t>
      </w:r>
    </w:p>
    <w:p w14:paraId="00000030">
      <w:pPr>
        <w:keepNext w:val="on"/>
        <w:spacing w:after="60" w:line="259" w:lineRule="auto"/>
        <w:rPr/>
      </w:pPr>
      <w:r>
        <w:rPr>
          <w:rFonts w:ascii="Arial" w:hAnsi="Arial"/>
          <w:b/>
        </w:rPr>
        <w:t xml:space="preserve">Solución correcta </w:t>
      </w:r>
      <w:r>
        <w:rPr>
          <w:rFonts w:ascii="Arial" w:hAnsi="Arial"/>
        </w:rPr>
        <w:t>Añade una lectura programada e independiente para ambos maestros, sin escribir nada en BDP.</w:t>
      </w:r>
    </w:p>
    <w:p w14:paraId="00000031">
      <w:pPr>
        <w:keepNext w:val="on"/>
        <w:spacing w:after="60" w:line="259" w:lineRule="auto"/>
        <w:rPr/>
      </w:pPr>
      <w:r>
        <w:rPr>
          <w:rFonts w:ascii="Arial" w:hAnsi="Arial"/>
          <w:b/>
        </w:rPr>
        <w:t xml:space="preserve">Cómo corregirlo </w:t>
      </w:r>
      <w:r>
        <w:rPr>
          <w:rFonts w:ascii="Arial" w:hAnsi="Arial"/>
        </w:rPr>
        <w:t>Usa GetTenderList o GetPOSTenderList para las formas de pago y GetEmployees o GetPOSEmployees para los empleados. Ejecuta una importación inicial y después una cadencia configurable por cuenta. Relaciona los registros por su identificador de BDP, actualiza los nombres y marca como inactivos los que desaparezcan; no los borres ni cambies mapeos automáticamente. Registra última sincronización y errores.</w:t>
      </w:r>
    </w:p>
    <w:p w14:paraId="00000032">
      <w:pPr>
        <w:keepNext w:val="on"/>
        <w:spacing w:after="60" w:line="259" w:lineRule="auto"/>
        <w:rPr/>
      </w:pPr>
      <w:r>
        <w:rPr>
          <w:rFonts w:ascii="Arial" w:hAnsi="Arial"/>
          <w:b/>
        </w:rPr>
        <w:t xml:space="preserve">Qué necesitas </w:t>
      </w:r>
      <w:r>
        <w:rPr>
          <w:rFonts w:ascii="Arial" w:hAnsi="Arial"/>
        </w:rPr>
        <w:t>Los comandos de lectura del manual, una tarea programada y campos de estado en la web.</w:t>
      </w:r>
    </w:p>
    <w:p w14:paraId="00000033">
      <w:pPr>
        <w:spacing w:after="100" w:line="259" w:lineRule="auto"/>
        <w:rPr/>
      </w:pPr>
      <w:r>
        <w:rPr>
          <w:rFonts w:ascii="Arial" w:hAnsi="Arial"/>
          <w:b/>
        </w:rPr>
        <w:t xml:space="preserve">Criterio de cierre </w:t>
      </w:r>
      <w:r>
        <w:rPr>
          <w:rFonts w:ascii="Arial" w:hAnsi="Arial"/>
        </w:rPr>
        <w:t>Un cambio hecho en el BDP local aparece solo en la web al cumplirse la cadencia, sin abrir la pantalla ni pulsar ningún botón.</w:t>
      </w:r>
    </w:p>
    <w:p w14:paraId="00000034">
      <w:pPr>
        <w:pStyle w:val="Heading2"/>
        <w:keepNext w:val="on"/>
        <w:spacing w:before="180" w:after="80"/>
        <w:rPr/>
      </w:pPr>
      <w:r>
        <w:rPr>
          <w:rFonts w:ascii="Arial" w:hAnsi="Arial"/>
          <w:b/>
          <w:color w:val="000000"/>
          <w:sz w:val="25"/>
        </w:rPr>
        <w:t>6  La explicación del séptimo aviso debe revisarse</w:t>
      </w:r>
    </w:p>
    <w:p w14:paraId="00000035">
      <w:pPr>
        <w:keepNext w:val="on"/>
        <w:spacing w:after="60" w:line="259" w:lineRule="auto"/>
        <w:rPr/>
      </w:pPr>
      <w:r>
        <w:rPr>
          <w:rFonts w:ascii="Arial" w:hAnsi="Arial"/>
          <w:b/>
        </w:rPr>
        <w:t xml:space="preserve">Fallo detectado </w:t>
      </w:r>
      <w:r>
        <w:rPr>
          <w:rFonts w:ascii="Arial" w:hAnsi="Arial"/>
        </w:rPr>
        <w:t>La documentación vincula Comanda Estado Cambiado con los estados Esperando validación y Aceptada. No indica que este aviso dependa del Monitor de Cocina. Atribuirlo a ese módulo no está justificado por la documentación disponible.</w:t>
      </w:r>
    </w:p>
    <w:p w14:paraId="00000036">
      <w:pPr>
        <w:keepNext w:val="on"/>
        <w:spacing w:after="60" w:line="259" w:lineRule="auto"/>
        <w:rPr/>
      </w:pPr>
      <w:r>
        <w:rPr>
          <w:rFonts w:ascii="Arial" w:hAnsi="Arial"/>
          <w:b/>
        </w:rPr>
        <w:t xml:space="preserve">Solución correcta </w:t>
      </w:r>
      <w:r>
        <w:rPr>
          <w:rFonts w:ascii="Arial" w:hAnsi="Arial"/>
        </w:rPr>
        <w:t>Reformula D21 como una prueba del cambio de estado de una comanda pendiente de validación.</w:t>
      </w:r>
    </w:p>
    <w:p w14:paraId="00000037">
      <w:pPr>
        <w:keepNext w:val="on"/>
        <w:spacing w:after="60" w:line="259" w:lineRule="auto"/>
        <w:rPr/>
      </w:pPr>
      <w:r>
        <w:rPr>
          <w:rFonts w:ascii="Arial" w:hAnsi="Arial"/>
          <w:b/>
        </w:rPr>
        <w:t xml:space="preserve">Cómo corregirlo </w:t>
      </w:r>
      <w:r>
        <w:rPr>
          <w:rFonts w:ascii="Arial" w:hAnsi="Arial"/>
        </w:rPr>
        <w:t>Configura el aviso Comanda Estado Cambiado. Crea una comanda con OrderEndType igual a 1, comprueba el aviso de espera, acéptala desde BDP y comprueba el aviso de aceptación. Verifica también duplicados y orden temporal. Si no llega, revisa la configuración y los registros; si persiste, consulta a BDP con la petición y los eventos exactos.</w:t>
      </w:r>
    </w:p>
    <w:p w14:paraId="00000038">
      <w:pPr>
        <w:keepNext w:val="on"/>
        <w:spacing w:after="60" w:line="259" w:lineRule="auto"/>
        <w:rPr/>
      </w:pPr>
      <w:r>
        <w:rPr>
          <w:rFonts w:ascii="Arial" w:hAnsi="Arial"/>
          <w:b/>
        </w:rPr>
        <w:t xml:space="preserve">Qué necesitas </w:t>
      </w:r>
      <w:r>
        <w:rPr>
          <w:rFonts w:ascii="Arial" w:hAnsi="Arial"/>
        </w:rPr>
        <w:t>El receptor de avisos, BDP local y una comanda pendiente de validación. No des por supuesto que hace falta Monitor de Cocina.</w:t>
      </w:r>
    </w:p>
    <w:p w14:paraId="00000039">
      <w:pPr>
        <w:spacing w:after="100" w:line="259" w:lineRule="auto"/>
        <w:rPr/>
      </w:pPr>
      <w:r>
        <w:rPr>
          <w:rFonts w:ascii="Arial" w:hAnsi="Arial"/>
          <w:b/>
        </w:rPr>
        <w:t xml:space="preserve">Criterio de cierre </w:t>
      </w:r>
      <w:r>
        <w:rPr>
          <w:rFonts w:ascii="Arial" w:hAnsi="Arial"/>
        </w:rPr>
        <w:t>Se reciben y procesan los cambios 0 y 1, o BDP confirma por escrito la dependencia real que impide la prueba.</w:t>
      </w:r>
    </w:p>
    <w:p w14:paraId="0000003A">
      <w:pPr>
        <w:pStyle w:val="Heading2"/>
        <w:keepNext w:val="on"/>
        <w:spacing w:before="180" w:after="80"/>
        <w:rPr/>
      </w:pPr>
      <w:r>
        <w:rPr>
          <w:rFonts w:ascii="Arial" w:hAnsi="Arial"/>
          <w:b/>
          <w:color w:val="000000"/>
          <w:sz w:val="25"/>
        </w:rPr>
        <w:t>7  Varias pruebas pueden completarse antes del restaurante</w:t>
      </w:r>
    </w:p>
    <w:p w14:paraId="0000003B">
      <w:pPr>
        <w:keepNext w:val="on"/>
        <w:spacing w:after="60" w:line="259" w:lineRule="auto"/>
        <w:rPr/>
      </w:pPr>
      <w:r>
        <w:rPr>
          <w:rFonts w:ascii="Arial" w:hAnsi="Arial"/>
          <w:b/>
        </w:rPr>
        <w:t xml:space="preserve">Fallo detectado </w:t>
      </w:r>
      <w:r>
        <w:rPr>
          <w:rFonts w:ascii="Arial" w:hAnsi="Arial"/>
        </w:rPr>
        <w:t>D08, D21a, D26, D26c y D29 se han enviado al piloto sin demostrar que necesiten producción. Wan ya dispone de BDP local y puede ejecutar la mayoría de estas situaciones allí.</w:t>
      </w:r>
    </w:p>
    <w:p w14:paraId="0000003C">
      <w:pPr>
        <w:keepNext w:val="on"/>
        <w:spacing w:after="60" w:line="259" w:lineRule="auto"/>
        <w:rPr/>
      </w:pPr>
      <w:r>
        <w:rPr>
          <w:rFonts w:ascii="Arial" w:hAnsi="Arial"/>
          <w:b/>
        </w:rPr>
        <w:t xml:space="preserve">Solución correcta </w:t>
      </w:r>
      <w:r>
        <w:rPr>
          <w:rFonts w:ascii="Arial" w:hAnsi="Arial"/>
        </w:rPr>
        <w:t>Completa primero todo lo reproducible en local y reserva el restaurante para hardware o configuración que solo exista allí.</w:t>
      </w:r>
    </w:p>
    <w:p w14:paraId="0000003D">
      <w:pPr>
        <w:keepNext w:val="on"/>
        <w:spacing w:after="60" w:line="259" w:lineRule="auto"/>
        <w:rPr/>
      </w:pPr>
      <w:r>
        <w:rPr>
          <w:rFonts w:ascii="Arial" w:hAnsi="Arial"/>
          <w:b/>
        </w:rPr>
        <w:t xml:space="preserve">Cómo corregirlo </w:t>
      </w:r>
      <w:r>
        <w:rPr>
          <w:rFonts w:ascii="Arial" w:hAnsi="Arial"/>
        </w:rPr>
        <w:t>D08 se prueba enviando dos solicitudes simultáneas sobre la misma comanda; no hacen falta dos personas. D29 se prueba reiniciando el BDP local durante una operación controlada. D21a puede probarse haciendo un traspaso completo desde la interfaz local. D26 y D26c deben ejecutarse con artículos, almacén y motivos de prueba. Solo la impresora de cocina y otros periféricos ausentes justifican esperar a una sesión presencial.</w:t>
      </w:r>
    </w:p>
    <w:p w14:paraId="0000003E">
      <w:pPr>
        <w:keepNext w:val="on"/>
        <w:spacing w:after="60" w:line="259" w:lineRule="auto"/>
        <w:rPr/>
      </w:pPr>
      <w:r>
        <w:rPr>
          <w:rFonts w:ascii="Arial" w:hAnsi="Arial"/>
          <w:b/>
        </w:rPr>
        <w:t xml:space="preserve">Qué necesitas </w:t>
      </w:r>
      <w:r>
        <w:rPr>
          <w:rFonts w:ascii="Arial" w:hAnsi="Arial"/>
        </w:rPr>
        <w:t>BDP local, datos de prueba y un pequeño script o herramienta capaz de lanzar solicitudes paralelas.</w:t>
      </w:r>
    </w:p>
    <w:p w14:paraId="0000003F">
      <w:pPr>
        <w:spacing w:after="100" w:line="259" w:lineRule="auto"/>
        <w:rPr/>
      </w:pPr>
      <w:r>
        <w:rPr>
          <w:rFonts w:ascii="Arial" w:hAnsi="Arial"/>
          <w:b/>
        </w:rPr>
        <w:t xml:space="preserve">Criterio de cierre </w:t>
      </w:r>
      <w:r>
        <w:rPr>
          <w:rFonts w:ascii="Arial" w:hAnsi="Arial"/>
        </w:rPr>
        <w:t>Cada ficha local queda ejecutada con evidencia. Lo que siga pendiente identifica una dependencia concreta, no una referencia genérica al restaurante.</w:t>
      </w:r>
    </w:p>
    <w:p w14:paraId="00000040">
      <w:pPr>
        <w:pStyle w:val="Heading2"/>
        <w:keepNext w:val="on"/>
        <w:spacing w:before="180" w:after="80"/>
        <w:rPr/>
      </w:pPr>
      <w:r>
        <w:rPr>
          <w:rFonts w:ascii="Arial" w:hAnsi="Arial"/>
          <w:b/>
          <w:color w:val="000000"/>
          <w:sz w:val="25"/>
        </w:rPr>
        <w:t>8  Las pruebas de stock están cerradas demasiado pronto</w:t>
      </w:r>
    </w:p>
    <w:p w14:paraId="00000041">
      <w:pPr>
        <w:keepNext w:val="on"/>
        <w:spacing w:after="60" w:line="259" w:lineRule="auto"/>
        <w:rPr/>
      </w:pPr>
      <w:r>
        <w:rPr>
          <w:rFonts w:ascii="Arial" w:hAnsi="Arial"/>
          <w:b/>
        </w:rPr>
        <w:t xml:space="preserve">Fallo detectado </w:t>
      </w:r>
      <w:r>
        <w:rPr>
          <w:rFonts w:ascii="Arial" w:hAnsi="Arial"/>
        </w:rPr>
        <w:t>D26 y D26c siguen pendientes. D26e no queda demostrada por una regularización normal, porque el inventario absoluto calcula una diferencia respecto al stock existente. D27 tampoco se valida diciendo que no existe un proceso de venta que mueva stock.</w:t>
      </w:r>
    </w:p>
    <w:p w14:paraId="00000042">
      <w:pPr>
        <w:keepNext w:val="on"/>
        <w:spacing w:after="60" w:line="259" w:lineRule="auto"/>
        <w:rPr/>
      </w:pPr>
      <w:r>
        <w:rPr>
          <w:rFonts w:ascii="Arial" w:hAnsi="Arial"/>
          <w:b/>
        </w:rPr>
        <w:t xml:space="preserve">Solución correcta </w:t>
      </w:r>
      <w:r>
        <w:rPr>
          <w:rFonts w:ascii="Arial" w:hAnsi="Arial"/>
        </w:rPr>
        <w:t>Separa y prueba cada operación de stock según su efecto real.</w:t>
      </w:r>
    </w:p>
    <w:p w14:paraId="00000043">
      <w:pPr>
        <w:keepNext w:val="on"/>
        <w:spacing w:after="60" w:line="259" w:lineRule="auto"/>
        <w:rPr/>
      </w:pPr>
      <w:r>
        <w:rPr>
          <w:rFonts w:ascii="Arial" w:hAnsi="Arial"/>
          <w:b/>
        </w:rPr>
        <w:t xml:space="preserve">Cómo corregirlo </w:t>
      </w:r>
      <w:r>
        <w:rPr>
          <w:rFonts w:ascii="Arial" w:hAnsi="Arial"/>
        </w:rPr>
        <w:t>Registra el stock inicial y prueba: lectura unitaria y por lista; regularización con motivo válido e inválido; suma y resta con UpdateStock o UpdateMassiveStock; traspaso comprobando ambos almacenes; inventario absoluto con UpdateMassiveInventory; comportamiento de un artículo escandallado; respuesta perdida sin duplicar; y una venta de artículo inventariable para confirmar que el stock cambia una sola vez. Relee el stock después de cada paso.</w:t>
      </w:r>
    </w:p>
    <w:p w14:paraId="00000044">
      <w:pPr>
        <w:keepNext w:val="on"/>
        <w:spacing w:after="60" w:line="259" w:lineRule="auto"/>
        <w:rPr/>
      </w:pPr>
      <w:r>
        <w:rPr>
          <w:rFonts w:ascii="Arial" w:hAnsi="Arial"/>
          <w:b/>
        </w:rPr>
        <w:t xml:space="preserve">Qué necesitas </w:t>
      </w:r>
      <w:r>
        <w:rPr>
          <w:rFonts w:ascii="Arial" w:hAnsi="Arial"/>
        </w:rPr>
        <w:t>Artículos inventariables y escandallados, dos almacenes, motivos válidos, BDP local y evidencia antes y después.</w:t>
      </w:r>
    </w:p>
    <w:p w14:paraId="00000045">
      <w:pPr>
        <w:spacing w:after="100" w:line="259" w:lineRule="auto"/>
        <w:rPr/>
      </w:pPr>
      <w:r>
        <w:rPr>
          <w:rFonts w:ascii="Arial" w:hAnsi="Arial"/>
          <w:b/>
        </w:rPr>
        <w:t xml:space="preserve">Criterio de cierre </w:t>
      </w:r>
      <w:r>
        <w:rPr>
          <w:rFonts w:ascii="Arial" w:hAnsi="Arial"/>
        </w:rPr>
        <w:t>Cada operación produce exactamente el movimiento esperado, los errores no escriben y una venta no provoca un doble descuento de stock.</w:t>
      </w:r>
    </w:p>
    <w:p w14:paraId="00000046">
      <w:pPr>
        <w:pStyle w:val="Heading2"/>
        <w:keepNext w:val="on"/>
        <w:spacing w:before="180" w:after="80"/>
        <w:rPr/>
      </w:pPr>
      <w:r>
        <w:rPr>
          <w:rFonts w:ascii="Arial" w:hAnsi="Arial"/>
          <w:b/>
          <w:color w:val="000000"/>
          <w:sz w:val="25"/>
        </w:rPr>
        <w:t>9  El modo automático global impide un despliegue por etapas</w:t>
      </w:r>
    </w:p>
    <w:p w14:paraId="00000047">
      <w:pPr>
        <w:keepNext w:val="on"/>
        <w:spacing w:after="60" w:line="259" w:lineRule="auto"/>
        <w:rPr/>
      </w:pPr>
      <w:r>
        <w:rPr>
          <w:rFonts w:ascii="Arial" w:hAnsi="Arial"/>
          <w:b/>
        </w:rPr>
        <w:t xml:space="preserve">Fallo detectado </w:t>
      </w:r>
      <w:r>
        <w:rPr>
          <w:rFonts w:ascii="Arial" w:hAnsi="Arial"/>
        </w:rPr>
        <w:t>El propio informe reconoce que el modo automático concede permiso a todas las escrituras. Esto contradice el despliegue progresivo: no se puede activar comandas y mantener pagos, facturas o stock bloqueados.</w:t>
      </w:r>
    </w:p>
    <w:p w14:paraId="00000048">
      <w:pPr>
        <w:keepNext w:val="on"/>
        <w:spacing w:after="60" w:line="259" w:lineRule="auto"/>
        <w:rPr/>
      </w:pPr>
      <w:r>
        <w:rPr>
          <w:rFonts w:ascii="Arial" w:hAnsi="Arial"/>
          <w:b/>
        </w:rPr>
        <w:t xml:space="preserve">Solución correcta </w:t>
      </w:r>
      <w:r>
        <w:rPr>
          <w:rFonts w:ascii="Arial" w:hAnsi="Arial"/>
        </w:rPr>
        <w:t>Mantén el interruptor general como freno, pero añade permisos automáticos separados por tipo de operación.</w:t>
      </w:r>
    </w:p>
    <w:p w14:paraId="00000049">
      <w:pPr>
        <w:keepNext w:val="on"/>
        <w:spacing w:after="60" w:line="259" w:lineRule="auto"/>
        <w:rPr/>
      </w:pPr>
      <w:r>
        <w:rPr>
          <w:rFonts w:ascii="Arial" w:hAnsi="Arial"/>
          <w:b/>
        </w:rPr>
        <w:t xml:space="preserve">Cómo corregirlo </w:t>
      </w:r>
      <w:r>
        <w:rPr>
          <w:rFonts w:ascii="Arial" w:hAnsi="Arial"/>
        </w:rPr>
        <w:t>Como mínimo, separa: comandas; artículos y clientes; propinas y puntos; pagos; facturas; stock; y llamada al camarero. Todos deben nacer desactivados. La cola solo ejecutará las categorías habilitadas y dejará las demás bloqueadas o pendientes con un motivo visible. Cada activación debe quedar auditada.</w:t>
      </w:r>
    </w:p>
    <w:p w14:paraId="0000004A">
      <w:pPr>
        <w:keepNext w:val="on"/>
        <w:spacing w:after="60" w:line="259" w:lineRule="auto"/>
        <w:rPr/>
      </w:pPr>
      <w:r>
        <w:rPr>
          <w:rFonts w:ascii="Arial" w:hAnsi="Arial"/>
          <w:b/>
        </w:rPr>
        <w:t xml:space="preserve">Qué necesitas </w:t>
      </w:r>
      <w:r>
        <w:rPr>
          <w:rFonts w:ascii="Arial" w:hAnsi="Arial"/>
        </w:rPr>
        <w:t>Cambios en configuración, interfaz, validación del servidor y procesador de la cola.</w:t>
      </w:r>
    </w:p>
    <w:p w14:paraId="0000004B">
      <w:pPr>
        <w:spacing w:after="100" w:line="259" w:lineRule="auto"/>
        <w:rPr/>
      </w:pPr>
      <w:r>
        <w:rPr>
          <w:rFonts w:ascii="Arial" w:hAnsi="Arial"/>
          <w:b/>
        </w:rPr>
        <w:t xml:space="preserve">Criterio de cierre </w:t>
      </w:r>
      <w:r>
        <w:rPr>
          <w:rFonts w:ascii="Arial" w:hAnsi="Arial"/>
        </w:rPr>
        <w:t>Se puede activar una sola categoría sin que ninguna otra escriba. El piloto puede avanzar por etapas y cada etapa conserva un apagado inmediato.</w:t>
      </w:r>
    </w:p>
    <w:p w14:paraId="0000004C">
      <w:pPr>
        <w:pStyle w:val="Heading2"/>
        <w:keepNext w:val="on"/>
        <w:spacing w:before="180" w:after="80"/>
        <w:rPr/>
      </w:pPr>
      <w:r>
        <w:rPr>
          <w:rFonts w:ascii="Arial" w:hAnsi="Arial"/>
          <w:b/>
          <w:color w:val="000000"/>
          <w:sz w:val="25"/>
        </w:rPr>
        <w:t>10  D31 y D32 todavía no están cerradas</w:t>
      </w:r>
    </w:p>
    <w:p w14:paraId="0000004D">
      <w:pPr>
        <w:keepNext w:val="on"/>
        <w:spacing w:after="60" w:line="259" w:lineRule="auto"/>
        <w:rPr/>
      </w:pPr>
      <w:r>
        <w:rPr>
          <w:rFonts w:ascii="Arial" w:hAnsi="Arial"/>
          <w:b/>
        </w:rPr>
        <w:t xml:space="preserve">Fallo detectado </w:t>
      </w:r>
      <w:r>
        <w:rPr>
          <w:rFonts w:ascii="Arial" w:hAnsi="Arial"/>
        </w:rPr>
        <w:t>D31 no se supera si BDP rechaza la llamada por falta de configuración; falta demostrar que el aviso aparece realmente en el terminal. D32 no se cierra solo porque exista una pantalla con un responsable genérico o editable; deben existir responsables y procedimientos reales aprobados.</w:t>
      </w:r>
    </w:p>
    <w:p w14:paraId="0000004E">
      <w:pPr>
        <w:keepNext w:val="on"/>
        <w:spacing w:after="60" w:line="259" w:lineRule="auto"/>
        <w:rPr/>
      </w:pPr>
      <w:r>
        <w:rPr>
          <w:rFonts w:ascii="Arial" w:hAnsi="Arial"/>
          <w:b/>
        </w:rPr>
        <w:t xml:space="preserve">Solución correcta </w:t>
      </w:r>
      <w:r>
        <w:rPr>
          <w:rFonts w:ascii="Arial" w:hAnsi="Arial"/>
        </w:rPr>
        <w:t>Mantén ambas fichas pendientes hasta completar sus condiciones externas.</w:t>
      </w:r>
    </w:p>
    <w:p w14:paraId="0000004F">
      <w:pPr>
        <w:keepNext w:val="on"/>
        <w:spacing w:after="60" w:line="259" w:lineRule="auto"/>
        <w:rPr/>
      </w:pPr>
      <w:r>
        <w:rPr>
          <w:rFonts w:ascii="Arial" w:hAnsi="Arial"/>
          <w:b/>
        </w:rPr>
        <w:t xml:space="preserve">Cómo corregirlo </w:t>
      </w:r>
      <w:r>
        <w:rPr>
          <w:rFonts w:ascii="Arial" w:hAnsi="Arial"/>
        </w:rPr>
        <w:t>Para D31, usa WebLinkRestAPI de pago, configura la dirección del servidor de mensajes en el terminal, ejecuta CallWaiter y confirma visualmente la ventana en BDP. Para D32, prepara una lista de cada operación no cubierta por la API, la persona responsable, el modo de contacto, los pasos y la escalada. Guillermo y el restaurante deben confirmar esos responsables antes del piloto.</w:t>
      </w:r>
    </w:p>
    <w:p w14:paraId="00000050">
      <w:pPr>
        <w:keepNext w:val="on"/>
        <w:spacing w:after="60" w:line="259" w:lineRule="auto"/>
        <w:rPr/>
      </w:pPr>
      <w:r>
        <w:rPr>
          <w:rFonts w:ascii="Arial" w:hAnsi="Arial"/>
          <w:b/>
        </w:rPr>
        <w:t xml:space="preserve">Qué necesitas </w:t>
      </w:r>
      <w:r>
        <w:rPr>
          <w:rFonts w:ascii="Arial" w:hAnsi="Arial"/>
        </w:rPr>
        <w:t>D31 necesita licencia de pago y configuración del terminal. D32 necesita nombres y aceptación del cliente; Wan puede preparar la pantalla y el procedimiento, pero no aprobarlos por su cuenta.</w:t>
      </w:r>
    </w:p>
    <w:p w14:paraId="00000051">
      <w:pPr>
        <w:spacing w:after="100" w:line="259" w:lineRule="auto"/>
        <w:rPr/>
      </w:pPr>
      <w:r>
        <w:rPr>
          <w:rFonts w:ascii="Arial" w:hAnsi="Arial"/>
          <w:b/>
        </w:rPr>
        <w:t xml:space="preserve">Criterio de cierre </w:t>
      </w:r>
      <w:r>
        <w:rPr>
          <w:rFonts w:ascii="Arial" w:hAnsi="Arial"/>
        </w:rPr>
        <w:t>D31 muestra el aviso real en el terminal. D32 contiene responsables nominales y procedimientos aceptados para todas las excepciones.</w:t>
      </w:r>
    </w:p>
    <w:p w14:paraId="00000052">
      <w:pPr>
        <w:pStyle w:val="Heading1"/>
        <w:spacing w:before="280"/>
        <w:rPr/>
      </w:pPr>
      <w:r>
        <w:t>Orden de trabajo recomendado</w:t>
      </w:r>
    </w:p>
    <w:p w14:paraId="00000053">
      <w:pPr>
        <w:spacing w:after="100" w:line="259" w:lineRule="auto"/>
        <w:ind w:left="29" w:hanging="29"/>
        <w:rPr/>
      </w:pPr>
      <w:r>
        <w:rPr>
          <w:rFonts w:ascii="Arial" w:hAnsi="Arial"/>
          <w:b/>
        </w:rPr>
        <w:t xml:space="preserve">1. Mantener producción en solo lectura. </w:t>
      </w:r>
      <w:r>
        <w:rPr>
          <w:rFonts w:ascii="Arial" w:hAnsi="Arial"/>
        </w:rPr>
        <w:t>No activar el modo automático ni ejecutar pagos, facturas o stock en el restaurante mientras las pruebas anteriores sigan abiertas.</w:t>
      </w:r>
    </w:p>
    <w:p w14:paraId="00000054">
      <w:pPr>
        <w:spacing w:after="100" w:line="259" w:lineRule="auto"/>
        <w:ind w:left="29" w:hanging="29"/>
        <w:rPr/>
      </w:pPr>
      <w:r>
        <w:rPr>
          <w:rFonts w:ascii="Arial" w:hAnsi="Arial"/>
          <w:b/>
        </w:rPr>
        <w:t xml:space="preserve">2. Resolver la licencia. </w:t>
      </w:r>
      <w:r>
        <w:rPr>
          <w:rFonts w:ascii="Arial" w:hAnsi="Arial"/>
        </w:rPr>
        <w:t>Conseguir y activar WebLinkRestAPI de pago en el entorno local. Corregir D01 y repetir todas las pruebas afectadas por la edición gratuita.</w:t>
      </w:r>
    </w:p>
    <w:p w14:paraId="00000055">
      <w:pPr>
        <w:spacing w:after="100" w:line="259" w:lineRule="auto"/>
        <w:ind w:left="29" w:hanging="29"/>
        <w:rPr/>
      </w:pPr>
      <w:r>
        <w:rPr>
          <w:rFonts w:ascii="Arial" w:hAnsi="Arial"/>
          <w:b/>
        </w:rPr>
        <w:t xml:space="preserve">3. Corregir los estados del informe. </w:t>
      </w:r>
      <w:r>
        <w:rPr>
          <w:rFonts w:ascii="Arial" w:hAnsi="Arial"/>
        </w:rPr>
        <w:t>Mover a pendiente las fichas que se cerraron sin licencia, sin configuración o sin una ejecución real. No usar cerrada con límite para una función que la edición de pago puede ofrecer.</w:t>
      </w:r>
    </w:p>
    <w:p w14:paraId="00000056">
      <w:pPr>
        <w:spacing w:after="100" w:line="259" w:lineRule="auto"/>
        <w:ind w:left="29" w:hanging="29"/>
        <w:rPr/>
      </w:pPr>
      <w:r>
        <w:rPr>
          <w:rFonts w:ascii="Arial" w:hAnsi="Arial"/>
          <w:b/>
        </w:rPr>
        <w:t xml:space="preserve">4. Completar las pruebas locales. </w:t>
      </w:r>
      <w:r>
        <w:rPr>
          <w:rFonts w:ascii="Arial" w:hAnsi="Arial"/>
        </w:rPr>
        <w:t>Ejecutar actualización de comandas, D18d, séptimo aviso, concurrencia, reinicio, traspaso y la batería completa de stock.</w:t>
      </w:r>
    </w:p>
    <w:p w14:paraId="00000057">
      <w:pPr>
        <w:spacing w:after="100" w:line="259" w:lineRule="auto"/>
        <w:ind w:left="29" w:hanging="29"/>
        <w:rPr/>
      </w:pPr>
      <w:r>
        <w:rPr>
          <w:rFonts w:ascii="Arial" w:hAnsi="Arial"/>
          <w:b/>
        </w:rPr>
        <w:t xml:space="preserve">5. Terminar la automatización. </w:t>
      </w:r>
      <w:r>
        <w:rPr>
          <w:rFonts w:ascii="Arial" w:hAnsi="Arial"/>
        </w:rPr>
        <w:t>Añadir la sincronización programada de formas de pago y empleados y sustituir el permiso automático global por permisos por categoría.</w:t>
      </w:r>
    </w:p>
    <w:p w14:paraId="00000058">
      <w:pPr>
        <w:spacing w:after="100" w:line="259" w:lineRule="auto"/>
        <w:ind w:left="29" w:hanging="29"/>
        <w:rPr/>
      </w:pPr>
      <w:r>
        <w:rPr>
          <w:rFonts w:ascii="Arial" w:hAnsi="Arial"/>
          <w:b/>
        </w:rPr>
        <w:t xml:space="preserve">6. Cerrar las dependencias externas. </w:t>
      </w:r>
      <w:r>
        <w:rPr>
          <w:rFonts w:ascii="Arial" w:hAnsi="Arial"/>
        </w:rPr>
        <w:t>Configurar D31 y pedir a Guillermo y al restaurante que aprueben los responsables de D32.</w:t>
      </w:r>
    </w:p>
    <w:p w14:paraId="00000059">
      <w:pPr>
        <w:spacing w:after="100" w:line="259" w:lineRule="auto"/>
        <w:ind w:left="29" w:hanging="29"/>
        <w:rPr/>
      </w:pPr>
      <w:r>
        <w:rPr>
          <w:rFonts w:ascii="Arial" w:hAnsi="Arial"/>
          <w:b/>
        </w:rPr>
        <w:t xml:space="preserve">7. Entregar evidencias y preparar el piloto. </w:t>
      </w:r>
      <w:r>
        <w:rPr>
          <w:rFonts w:ascii="Arial" w:hAnsi="Arial"/>
        </w:rPr>
        <w:t>Actualizar el informe y entregar una ficha por prueba antes de proponer cualquier escritura automática en producción.</w:t>
      </w:r>
    </w:p>
    <w:p w14:paraId="0000005A">
      <w:pPr>
        <w:pStyle w:val="Heading1"/>
        <w:rPr/>
      </w:pPr>
      <w:r>
        <w:t>Evidencia mínima que debes entregar</w:t>
      </w:r>
    </w:p>
    <w:p w14:paraId="0000005B">
      <w:pPr>
        <w:spacing w:after="100"/>
        <w:rPr/>
      </w:pPr>
      <w:r>
        <w:rPr>
          <w:rFonts w:ascii="Arial" w:hAnsi="Arial"/>
        </w:rPr>
        <w:t>Guillermo no tiene acceso al BDP local. Por tanto, cada prueba que marques como cerrada debe poder revisarse sin depender de una afirmación verbal. Entrega una ficha breve con estos datos:</w:t>
      </w:r>
    </w:p>
    <w:p w14:paraId="0000005C">
      <w:pPr>
        <w:pStyle w:val="ListBullet"/>
        <w:spacing w:after="50" w:line="252" w:lineRule="auto"/>
        <w:rPr/>
      </w:pPr>
      <w:r>
        <w:rPr>
          <w:rFonts w:ascii="Arial" w:hAnsi="Arial"/>
        </w:rPr>
        <w:t>Código de prueba, fecha, entorno, versión de BDP y tipo de licencia.</w:t>
      </w:r>
    </w:p>
    <w:p w14:paraId="0000005D">
      <w:pPr>
        <w:pStyle w:val="ListBullet"/>
        <w:spacing w:after="50" w:line="252" w:lineRule="auto"/>
        <w:rPr/>
      </w:pPr>
      <w:r>
        <w:rPr>
          <w:rFonts w:ascii="Arial" w:hAnsi="Arial"/>
        </w:rPr>
        <w:t>Estado inicial y datos de prueba utilizados.</w:t>
      </w:r>
    </w:p>
    <w:p w14:paraId="0000005E">
      <w:pPr>
        <w:pStyle w:val="ListBullet"/>
        <w:spacing w:after="50" w:line="252" w:lineRule="auto"/>
        <w:rPr/>
      </w:pPr>
      <w:r>
        <w:rPr>
          <w:rFonts w:ascii="Arial" w:hAnsi="Arial"/>
        </w:rPr>
        <w:t>Acción ejecutada o petición enviada, sin contraseñas ni secretos.</w:t>
      </w:r>
    </w:p>
    <w:p w14:paraId="0000005F">
      <w:pPr>
        <w:pStyle w:val="ListBullet"/>
        <w:spacing w:after="50" w:line="252" w:lineRule="auto"/>
        <w:rPr/>
      </w:pPr>
      <w:r>
        <w:rPr>
          <w:rFonts w:ascii="Arial" w:hAnsi="Arial"/>
        </w:rPr>
        <w:t>Respuesta de BDP y resultado final en la web y en BDP.</w:t>
      </w:r>
    </w:p>
    <w:p w14:paraId="00000060">
      <w:pPr>
        <w:pStyle w:val="ListBullet"/>
        <w:spacing w:after="50" w:line="252" w:lineRule="auto"/>
        <w:rPr/>
      </w:pPr>
      <w:r>
        <w:rPr>
          <w:rFonts w:ascii="Arial" w:hAnsi="Arial"/>
        </w:rPr>
        <w:t>Captura o grabación, identificadores, hora y fila de auditoría o registro relacionado.</w:t>
      </w:r>
    </w:p>
    <w:p w14:paraId="00000061">
      <w:pPr>
        <w:pStyle w:val="ListBullet"/>
        <w:spacing w:after="50" w:line="252" w:lineRule="auto"/>
        <w:rPr/>
      </w:pPr>
      <w:r>
        <w:rPr>
          <w:rFonts w:ascii="Arial" w:hAnsi="Arial"/>
        </w:rPr>
        <w:t>Resultado final: cerrada, pendiente de licencia, pendiente de configuración, pendiente de prueba local o pendiente de piloto.</w:t>
      </w:r>
    </w:p>
    <w:p w14:paraId="00000062">
      <w:pPr>
        <w:spacing w:before="140" w:after="100"/>
        <w:rPr/>
      </w:pPr>
      <w:r>
        <w:rPr>
          <w:rFonts w:ascii="Arial" w:hAnsi="Arial"/>
          <w:b/>
        </w:rPr>
        <w:t xml:space="preserve">Consulta. </w:t>
      </w:r>
      <w:r>
        <w:rPr>
          <w:rFonts w:ascii="Arial" w:hAnsi="Arial"/>
        </w:rPr>
        <w:t>Usa el Manual de WebLinkRestAPI en los apartados de edición gratuita, CreateOrder, GetOrder, facturación, empleados, formas de pago y stock; y la documentación Avisos de Acciones para Comanda Estado Cambiado y traspasos. Actualiza después el informe de cierre del 22 de octubre de 2026.</w:t>
      </w:r>
    </w:p>
    <w:p w14:paraId="00000063">
      <w:pPr>
        <w:spacing w:before="140" w:after="0"/>
        <w:rPr/>
      </w:pPr>
      <w:r>
        <w:rPr>
          <w:rFonts w:ascii="Arial" w:hAnsi="Arial"/>
          <w:b/>
        </w:rPr>
        <w:t xml:space="preserve">Resultado esperado. </w:t>
      </w:r>
      <w:r>
        <w:rPr>
          <w:rFonts w:ascii="Arial" w:hAnsi="Arial"/>
        </w:rPr>
        <w:t>Cuando termines, el informe no debe afirmar que la integración está lista para piloto por el número de funciones programadas, sino por las pruebas realmente superadas. El modo automático solo podrá plantearse después de cerrar estas correcciones y revisar las evidencias.</w:t>
      </w:r>
    </w:p>
    <w:sectPr>
      <w:headerReference w:type="default" r:id="rId10"/>
      <w:footerReference w:type="default" r:id="rId11"/>
      <w:pgSz w:w="12240" w:h="15840"/>
      <w:pgMar w:top="979" w:right="1123" w:bottom="950" w:left="1123"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p w14:paraId="00000065">
    <w:pPr>
      <w:pStyle w:val="Footer"/>
      <w:jc w:val="center"/>
      <w:rPr/>
    </w:pPr>
    <w:r>
      <w:rPr>
        <w:rFonts w:ascii="Arial" w:hAnsi="Arial"/>
        <w:color w:val="6e6e6e"/>
        <w:sz w:val="16"/>
      </w:rPr>
      <w:t>Revisión para Wan · Integración web con BDP · 26 de octubre de 2026</w:t>
    </w: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p w14:paraId="00000064">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pPr>
      <w:spacing w:after="100" w:line="259" w:lineRule="auto"/>
    </w:pPr>
    <w:rPr>
      <w:rFonts w:ascii="Arial" w:hAnsi="Arial"/>
      <w:color w:val="222222"/>
      <w:sz w:val="20"/>
    </w:rPr>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spacing w:after="120" w:line="240" w:lineRule="auto"/>
      <w:contextualSpacing w:val="on"/>
    </w:pPr>
    <w:rPr>
      <w:rFonts w:asciiTheme="majorHAnsi" w:cstheme="majorBidi" w:eastAsiaTheme="majorEastAsia" w:hAnsiTheme="majorHAnsi"/>
      <w:b/>
      <w:color w:val="000000"/>
      <w:spacing w:val="5"/>
      <w:sz w:val="46"/>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eader" Target="header1.xml"/><Relationship Id="rId11" Type="http://schemas.openxmlformats.org/officeDocument/2006/relationships/footer" Target="footer1.xml"/><Relationship Id="rId2" Type="http://schemas.openxmlformats.org/officeDocument/2006/relationships/numbering" Target="numbering.xml"/><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foot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Correcciones necesarias antes del piloto de integración con BDP</dc:title>
  <dc:description>Documento de trabajo para revisión técnica y pruebas previas al piloto</dc:description>
  <dc:subject>Guía breve para Wan con correcciones y orden de trabajo</dc:subject>
  <dc:creator>Guillermo García Sáez</dc:creator>
  <cp:lastModifiedBy>Guillermo García </cp:lastModifiedBy>
</cp:coreProperties>
</file>