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E7C70A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模型建立与求解（最终整合版）</w:t>
      </w:r>
    </w:p>
    <w:p w14:paraId="6ECA1580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5.0 数据预处理与基础准备</w:t>
      </w:r>
      <w:bookmarkEnd w:id="0"/>
    </w:p>
    <w:p w14:paraId="26EECE16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5.0.1 数据质量诊断结论</w:t>
      </w:r>
      <w:bookmarkEnd w:id="1"/>
    </w:p>
    <w:p w14:paraId="5B815C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基于赛题样例数据（1000条样本、37个字段）的首轮诊断结果（复用文件二预处理成果）：</w:t>
      </w:r>
    </w:p>
    <w:p w14:paraId="57A5799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数据完整性：无缺失值、无重复样本，ADL/IADL分项与总分完全自洽，可直接使用活动能力总分及分项指标</w:t>
      </w:r>
    </w:p>
    <w:p w14:paraId="67DC15E7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标签分布：高血脂确诊样本793条（占比79.3%），存在显著类别不平衡；痰湿质样本278条（占比27.8%）</w:t>
      </w:r>
    </w:p>
    <w:p w14:paraId="6056607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关键发现：</w:t>
      </w:r>
      <w:r>
        <w:rPr>
          <w:rFonts w:ascii="Arial" w:hAnsi="Arial" w:eastAsia="等线" w:cs="Arial"/>
          <w:b/>
          <w:sz w:val="22"/>
        </w:rPr>
        <w:t>体质标签≠九种体质积分最大项</w:t>
      </w:r>
      <w:r>
        <w:rPr>
          <w:rFonts w:ascii="Arial" w:hAnsi="Arial" w:eastAsia="等线" w:cs="Arial"/>
          <w:sz w:val="22"/>
        </w:rPr>
        <w:t>（65个不一致样本），需将离散体质标签与连续体质积分并行使用；</w:t>
      </w:r>
      <w:r>
        <w:rPr>
          <w:rFonts w:ascii="Arial" w:hAnsi="Arial" w:eastAsia="等线" w:cs="Arial"/>
          <w:b/>
          <w:sz w:val="22"/>
        </w:rPr>
        <w:t>高血脂诊断标签与血脂异常项数完全对应</w:t>
      </w:r>
      <w:r>
        <w:rPr>
          <w:rFonts w:ascii="Arial" w:hAnsi="Arial" w:eastAsia="等线" w:cs="Arial"/>
          <w:sz w:val="22"/>
        </w:rPr>
        <w:t>，存在标签泄漏风险，需明确区分"临床诊断"与"风险预警"</w:t>
      </w:r>
    </w:p>
    <w:p w14:paraId="6C17F6A9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5.0.2 预处理执行方案</w:t>
      </w:r>
      <w:bookmarkEnd w:id="2"/>
    </w:p>
    <w:p w14:paraId="5438E506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基础字段保留：保留全部37个原始字段，直接复用文件二生成的标准化派生变量：</w:t>
      </w:r>
    </w:p>
    <w:p w14:paraId="28A915B3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代谢派生指标：non-HDL-C、AIP、TC/HDL比值、LDL/HDL比值、TG/HDL比值（含1%-99%缩尾版本）</w:t>
      </w:r>
    </w:p>
    <w:p w14:paraId="5AA2F854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临床异常标志：TC/TG/LDL/HDL异常、血脂异常项数、尿酸异常</w:t>
      </w:r>
    </w:p>
    <w:p w14:paraId="2D91037F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赛题约束分层变量：活动能力分层（&lt;40/40-59/≥60）、痰湿积分分层（≤58/59-61/≥62）</w:t>
      </w:r>
    </w:p>
    <w:p w14:paraId="6CAD1DD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类别不平衡处理：</w:t>
      </w:r>
    </w:p>
    <w:p w14:paraId="2E8C6D90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采样：采用SMOTE-Tomek算法，针对79.3%的确诊率调整过采样比例，同时清理边界噪声样本</w:t>
      </w:r>
    </w:p>
    <w:p w14:paraId="64BCE1A2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模型：使用Focal Loss损失函数，自动提升少数类（未确诊）样本权重</w:t>
      </w:r>
    </w:p>
    <w:p w14:paraId="2C9FEDAA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评价：全程以</w:t>
      </w:r>
      <w:r>
        <w:rPr>
          <w:rFonts w:ascii="Arial" w:hAnsi="Arial" w:eastAsia="等线" w:cs="Arial"/>
          <w:b/>
          <w:sz w:val="22"/>
        </w:rPr>
        <w:t>Macro-F1、AUC-ROC、PR曲线、召回率</w:t>
      </w:r>
      <w:r>
        <w:rPr>
          <w:rFonts w:ascii="Arial" w:hAnsi="Arial" w:eastAsia="等线" w:cs="Arial"/>
          <w:sz w:val="22"/>
        </w:rPr>
        <w:t>为核心指标，绝对不使用准确率作为主要评价标准</w:t>
      </w:r>
    </w:p>
    <w:p w14:paraId="562E5570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5.1 问题一：关键指标筛选与体质风险贡献分析</w:t>
      </w:r>
      <w:bookmarkEnd w:id="3"/>
    </w:p>
    <w:p w14:paraId="570B4E93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5.1.1 问题定义</w:t>
      </w:r>
      <w:bookmarkEnd w:id="4"/>
    </w:p>
    <w:p w14:paraId="6BA4D9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从中西医多维特征中筛选</w:t>
      </w:r>
      <w:r>
        <w:rPr>
          <w:rFonts w:ascii="Arial" w:hAnsi="Arial" w:eastAsia="等线" w:cs="Arial"/>
          <w:b/>
          <w:sz w:val="22"/>
        </w:rPr>
        <w:t>同时表征痰湿体质严重程度、预警高血脂发病风险</w:t>
      </w:r>
      <w:r>
        <w:rPr>
          <w:rFonts w:ascii="Arial" w:hAnsi="Arial" w:eastAsia="等线" w:cs="Arial"/>
          <w:sz w:val="22"/>
        </w:rPr>
        <w:t>的关键指标，并量化九种体质对高血脂发病风险的贡献度差异。</w:t>
      </w:r>
    </w:p>
    <w:p w14:paraId="0C89ED07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5.1.2 候选特征池构建</w:t>
      </w:r>
      <w:bookmarkEnd w:id="5"/>
    </w:p>
    <w:p w14:paraId="7709A6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融合原始指标与文件二高价值派生指标，构建三级候选特征集：</w:t>
      </w:r>
    </w:p>
    <w:p w14:paraId="5918200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基础特征层：九种体质积分+体质标签、TC/TG/LDL-C/HDL-C/GLU/UA/BMI、ADL/IADL总分及分项、人口统计学信息</w:t>
      </w:r>
    </w:p>
    <w:p w14:paraId="032EF74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派生特征层：non-HDL-C、AIP、TC/HDL、LDL/HDL、TG/HDL、血脂异常项数、尿酸异常标志</w:t>
      </w:r>
    </w:p>
    <w:p w14:paraId="3C1CBB1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中西医交叉特征层：痰湿质得分×BMI、痰湿质得分×TG、痰湿质得分×AIP、痰湿质得分×LDL-C、痰湿质得分/HDL-C、气虚质得分×TC</w:t>
      </w:r>
    </w:p>
    <w:p w14:paraId="1F7520F7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5.1.3 基于Spearman-互信息-PLS的双目标联合筛选模型</w:t>
      </w:r>
      <w:bookmarkEnd w:id="6"/>
    </w:p>
    <w:p w14:paraId="06CBA1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针对"痰湿表征+风险预警"双目标要求，构建三维综合评分体系：</w:t>
      </w:r>
    </w:p>
    <w:p w14:paraId="23D51FAB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Spearman相关系数（痰湿表征能力）</w:t>
      </w:r>
      <w:r>
        <w:rPr>
          <w:rFonts w:ascii="Arial" w:hAnsi="Arial" w:eastAsia="等线" w:cs="Arial"/>
          <w:sz w:val="22"/>
        </w:rPr>
        <w:t>：</w:t>
      </w:r>
    </w:p>
    <w:p w14:paraId="08096E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采用Spearman等级相关系数衡量各指标与痰湿质积分的关联强度，取绝对值记为</w:t>
      </w:r>
      <m:oMath>
        <m:sSub>
          <m:sSubPr/>
          <m:e>
            <m:r>
              <m:rPr/>
              <w:rPr>
                <w:rFonts w:ascii="Cambria Math" w:hAnsi="Cambria Math"/>
              </w:rPr>
              <m:t>R</m:t>
            </m:r>
          </m:e>
          <m:sub>
            <m:r>
              <m:rPr/>
              <w:rPr>
                <w:rFonts w:ascii="Cambria Math" w:hAnsi="Cambria Math"/>
              </w:rPr>
              <m:t>j</m:t>
            </m:r>
          </m:sub>
        </m:sSub>
      </m:oMath>
      <w:r>
        <w:rPr>
          <w:rFonts w:ascii="Arial" w:hAnsi="Arial" w:eastAsia="等线" w:cs="Arial"/>
          <w:sz w:val="22"/>
        </w:rPr>
        <w:t>，值越大表征能力越强。</w:t>
      </w:r>
    </w:p>
    <w:p w14:paraId="6DCF2EDC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互信息（风险预警能力）</w:t>
      </w:r>
      <w:r>
        <w:rPr>
          <w:rFonts w:ascii="Arial" w:hAnsi="Arial" w:eastAsia="等线" w:cs="Arial"/>
          <w:sz w:val="22"/>
        </w:rPr>
        <w:t>：</w:t>
      </w:r>
    </w:p>
    <w:p w14:paraId="0D5E28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采用互信息衡量各指标包含的高血脂发病信息量，记为</w:t>
      </w:r>
      <m:oMath>
        <m:sSub>
          <m:sSubPr/>
          <m:e>
            <m:r>
              <m:rPr/>
              <w:rPr>
                <w:rFonts w:ascii="Cambria Math" w:hAnsi="Cambria Math"/>
              </w:rPr>
              <m:t>M</m:t>
            </m:r>
          </m:e>
          <m:sub>
            <m:r>
              <m:rPr/>
              <w:rPr>
                <w:rFonts w:ascii="Cambria Math" w:hAnsi="Cambria Math"/>
              </w:rPr>
              <m:t>j</m:t>
            </m:r>
          </m:sub>
        </m:sSub>
      </m:oMath>
      <w:r>
        <w:rPr>
          <w:rFonts w:ascii="Arial" w:hAnsi="Arial" w:eastAsia="等线" w:cs="Arial"/>
          <w:sz w:val="22"/>
        </w:rPr>
        <w:t>，值越大预警能力越强。</w:t>
      </w:r>
    </w:p>
    <w:p w14:paraId="3B9A8291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PLS联合结构载荷（双目标整合能力）</w:t>
      </w:r>
      <w:r>
        <w:rPr>
          <w:rFonts w:ascii="Arial" w:hAnsi="Arial" w:eastAsia="等线" w:cs="Arial"/>
          <w:sz w:val="22"/>
        </w:rPr>
        <w:t>：</w:t>
      </w:r>
    </w:p>
    <w:p w14:paraId="0E91D4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以"痰湿质积分+高血脂标签"为双响应矩阵进行偏最小二乘回归，计算各变量在前两个潜变量上的联合结构载荷</w:t>
      </w:r>
      <m:oMath>
        <m:sSub>
          <m:sSubPr/>
          <m:e>
            <m:r>
              <m:rPr/>
              <w:rPr>
                <w:rFonts w:ascii="Cambria Math" w:hAnsi="Cambria Math"/>
              </w:rPr>
              <m:t>L</m:t>
            </m:r>
          </m:e>
          <m:sub>
            <m:r>
              <m:rPr/>
              <w:rPr>
                <w:rFonts w:ascii="Cambria Math" w:hAnsi="Cambria Math"/>
              </w:rPr>
              <m:t>j</m:t>
            </m:r>
          </m:sub>
        </m:sSub>
      </m:oMath>
      <w:r>
        <w:rPr>
          <w:rFonts w:ascii="Arial" w:hAnsi="Arial" w:eastAsia="等线" w:cs="Arial"/>
          <w:sz w:val="22"/>
        </w:rPr>
        <w:t>，反映指标在双目标空间的综合解释力。</w:t>
      </w:r>
    </w:p>
    <w:p w14:paraId="426633C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综合评分函数</w:t>
      </w:r>
      <w:r>
        <w:rPr>
          <w:rFonts w:ascii="Arial" w:hAnsi="Arial" w:eastAsia="等线" w:cs="Arial"/>
          <w:sz w:val="22"/>
        </w:rPr>
        <w:t>：</w:t>
      </w:r>
    </w:p>
    <w:p w14:paraId="47F33C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对三者归一化后，按权重0.35（痰湿）、0.35（风险）、0.30（联合）构造综合评分：</w:t>
      </w:r>
    </w:p>
    <w:p w14:paraId="479C2DD9">
      <w:pPr>
        <w:spacing w:before="120" w:after="120" w:line="288" w:lineRule="auto"/>
        <w:ind w:left="453"/>
        <w:jc w:val="left"/>
      </w:pPr>
      <m:oMathPara>
        <m:oMath>
          <m:sSub>
            <m:sSubPr/>
            <m:e>
              <m:r>
                <m:rPr/>
                <w:rPr>
                  <w:rFonts w:ascii="Cambria Math" w:hAnsi="Cambria Math"/>
                </w:rPr>
                <m:t>F</m:t>
              </m:r>
            </m:e>
            <m:sub>
              <m:r>
                <m:rPr/>
                <w:rPr>
                  <w:rFonts w:ascii="Cambria Math" w:hAnsi="Cambria Math"/>
                </w:rPr>
                <m:t>j</m:t>
              </m:r>
            </m:sub>
          </m:sSub>
          <m:r>
            <m:rPr/>
            <w:rPr>
              <w:rFonts w:ascii="Cambria Math" w:hAnsi="Cambria Math"/>
            </w:rPr>
            <m:t>=0.35R</m:t>
          </m:r>
          <m:sSub>
            <m:sSubPr/>
            <m:e>
              <m:r>
                <m:rPr/>
                <w:rPr>
                  <w:rFonts w:ascii="Cambria Math" w:hAnsi="Cambria Math"/>
                </w:rPr>
                <m:t>'</m:t>
              </m:r>
            </m:e>
            <m:sub>
              <m:r>
                <m:rPr/>
                <w:rPr>
                  <w:rFonts w:ascii="Cambria Math" w:hAnsi="Cambria Math"/>
                </w:rPr>
                <m:t>j</m:t>
              </m:r>
            </m:sub>
          </m:sSub>
          <m:r>
            <m:rPr/>
            <w:rPr>
              <w:rFonts w:ascii="Cambria Math" w:hAnsi="Cambria Math"/>
            </w:rPr>
            <m:t>+0.35M</m:t>
          </m:r>
          <m:sSub>
            <m:sSubPr/>
            <m:e>
              <m:r>
                <m:rPr/>
                <w:rPr>
                  <w:rFonts w:ascii="Cambria Math" w:hAnsi="Cambria Math"/>
                </w:rPr>
                <m:t>'</m:t>
              </m:r>
            </m:e>
            <m:sub>
              <m:r>
                <m:rPr/>
                <w:rPr>
                  <w:rFonts w:ascii="Cambria Math" w:hAnsi="Cambria Math"/>
                </w:rPr>
                <m:t>j</m:t>
              </m:r>
            </m:sub>
          </m:sSub>
          <m:r>
            <m:rPr/>
            <w:rPr>
              <w:rFonts w:ascii="Cambria Math" w:hAnsi="Cambria Math"/>
            </w:rPr>
            <m:t>+0.30L</m:t>
          </m:r>
          <m:sSub>
            <m:sSubPr/>
            <m:e>
              <m:r>
                <m:rPr/>
                <w:rPr>
                  <w:rFonts w:ascii="Cambria Math" w:hAnsi="Cambria Math"/>
                </w:rPr>
                <m:t>'</m:t>
              </m:r>
            </m:e>
            <m:sub>
              <m:r>
                <m:rPr/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6514B538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按</w:t>
      </w:r>
      <m:oMath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j</m:t>
            </m:r>
          </m:sub>
        </m:sSub>
      </m:oMath>
      <w:r>
        <w:rPr>
          <w:rFonts w:ascii="Arial" w:hAnsi="Arial" w:eastAsia="等线" w:cs="Arial"/>
          <w:sz w:val="22"/>
        </w:rPr>
        <w:t>从大到小排序得到关键指标优先级。</w:t>
      </w:r>
    </w:p>
    <w:p w14:paraId="656991E6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5.1.4 九种体质风险贡献度分析</w:t>
      </w:r>
      <w:bookmarkEnd w:id="7"/>
    </w:p>
    <w:p w14:paraId="43AEC6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从离散标签和连续积分两个维度展开：</w:t>
      </w:r>
    </w:p>
    <w:p w14:paraId="4165E18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基于主标签的相对风险分析</w:t>
      </w:r>
      <w:r>
        <w:rPr>
          <w:rFonts w:ascii="Arial" w:hAnsi="Arial" w:eastAsia="等线" w:cs="Arial"/>
          <w:sz w:val="22"/>
        </w:rPr>
        <w:t>：</w:t>
      </w:r>
    </w:p>
    <w:p w14:paraId="434995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计算各类体质的高血脂确诊率与总体患病率的比值</w:t>
      </w:r>
      <m:oMath>
        <m:r>
          <m:rPr/>
          <w:rPr>
            <w:rFonts w:ascii="Cambria Math" w:hAnsi="Cambria Math"/>
          </w:rPr>
          <m:t>R</m:t>
        </m:r>
        <m:sSub>
          <m:sSubPr/>
          <m:e>
            <m:r>
              <m:rPr/>
              <w:rPr>
                <w:rFonts w:ascii="Cambria Math" w:hAnsi="Cambria Math"/>
              </w:rPr>
              <m:t>R</m:t>
            </m:r>
          </m:e>
          <m:sub>
            <m:r>
              <m:rPr/>
              <w:rPr>
                <w:rFonts w:ascii="Cambria Math" w:hAnsi="Cambria Math"/>
              </w:rPr>
              <m:t>k</m:t>
            </m:r>
          </m:sub>
        </m:sSub>
      </m:oMath>
      <w:r>
        <w:rPr>
          <w:rFonts w:ascii="Arial" w:hAnsi="Arial" w:eastAsia="等线" w:cs="Arial"/>
          <w:sz w:val="22"/>
        </w:rPr>
        <w:t>，并通过卡方独立性检验验证体质标签与发病风险的统计学关联。</w:t>
      </w:r>
    </w:p>
    <w:p w14:paraId="246BE0E4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基于积分的多因素贡献分析</w:t>
      </w:r>
      <w:r>
        <w:rPr>
          <w:rFonts w:ascii="Arial" w:hAnsi="Arial" w:eastAsia="等线" w:cs="Arial"/>
          <w:sz w:val="22"/>
        </w:rPr>
        <w:t>：</w:t>
      </w:r>
    </w:p>
    <w:p w14:paraId="7DADE8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构建控制血脂、活动能力、人口统计学因素的Logistic回归模型：</w:t>
      </w:r>
    </w:p>
    <w:p w14:paraId="427FB55E">
      <w:pPr>
        <w:spacing w:before="120" w:after="120" w:line="288" w:lineRule="auto"/>
        <w:ind w:left="453"/>
        <w:jc w:val="left"/>
      </w:pPr>
      <m:oMathPara>
        <m:oMath>
          <m:r>
            <m:rPr/>
            <w:rPr>
              <w:rFonts w:ascii="Cambria Math" w:hAnsi="Cambria Math"/>
            </w:rPr>
            <m:t>log</m:t>
          </m:r>
          <m:d>
            <m:dPr>
              <m:sepChr m:val=","/>
            </m:dPr>
            <m:e>
              <m:f>
                <m:fPr/>
                <m:num>
                  <m:r>
                    <m:rPr/>
                    <w:rPr>
                      <w:rFonts w:ascii="Cambria Math" w:hAnsi="Cambria Math"/>
                    </w:rPr>
                    <m:t>P</m:t>
                  </m:r>
                  <m:d>
                    <m:dPr>
                      <m:sepChr m:val=","/>
                    </m:dPr>
                    <m:e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/>
                        <w:rPr>
                          <w:rFonts w:ascii="Cambria Math" w:hAnsi="Cambria Math"/>
                        </w:rPr>
                        <m:t>=1</m:t>
                      </m:r>
                    </m:e>
                  </m:d>
                </m:num>
                <m:den>
                  <m:r>
                    <m:rPr/>
                    <w:rPr>
                      <w:rFonts w:ascii="Cambria Math" w:hAnsi="Cambria Math"/>
                    </w:rPr>
                    <m:t>1−P</m:t>
                  </m:r>
                  <m:d>
                    <m:dPr>
                      <m:sepChr m:val=","/>
                    </m:dPr>
                    <m:e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/>
                        <w:rPr>
                          <w:rFonts w:ascii="Cambria Math" w:hAnsi="Cambria Math"/>
                        </w:rPr>
                        <m:t>=1</m:t>
                      </m:r>
                    </m:e>
                  </m:d>
                </m:den>
              </m:f>
            </m:e>
          </m:d>
          <m:r>
            <m:rPr/>
            <w:rPr>
              <w:rFonts w:ascii="Cambria Math" w:hAnsi="Cambria Math"/>
            </w:rPr>
            <m:t>=</m:t>
          </m:r>
          <m:sSub>
            <m:sSubPr/>
            <m:e>
              <m:r>
                <m:rPr/>
                <w:rPr>
                  <w:rFonts w:ascii="Cambria Math" w:hAnsi="Cambria Math"/>
                </w:rPr>
                <m:t>β</m:t>
              </m:r>
            </m:e>
            <m:sub>
              <m:r>
                <m:rPr/>
                <w:rPr>
                  <w:rFonts w:ascii="Cambria Math" w:hAnsi="Cambria Math"/>
                </w:rPr>
                <m:t>0</m:t>
              </m:r>
            </m:sub>
          </m:sSub>
          <m:r>
            <m:rPr/>
            <w:rPr>
              <w:rFonts w:ascii="Cambria Math" w:hAnsi="Cambria Math"/>
            </w:rPr>
            <m:t>+</m:t>
          </m:r>
          <m:nary>
            <m:naryPr>
              <m:chr m:val="∑"/>
              <m:grow m:val="1"/>
              <m:limLoc m:val="subSup"/>
            </m:naryPr>
            <m:sub>
              <m:r>
                <m:rPr/>
                <w:rPr>
                  <w:rFonts w:ascii="Cambria Math" w:hAnsi="Cambria Math"/>
                </w:rPr>
                <m:t>m=1</m:t>
              </m:r>
            </m:sub>
            <m:sup>
              <m:r>
                <m:rPr/>
                <w:rPr>
                  <w:rFonts w:ascii="Cambria Math" w:hAnsi="Cambria Math"/>
                </w:rPr>
                <m:t>9</m:t>
              </m:r>
            </m:sup>
            <m:e/>
          </m:nary>
          <m:sSub>
            <m:sSubPr/>
            <m:e>
              <m:r>
                <m:rPr/>
                <w:rPr>
                  <w:rFonts w:ascii="Cambria Math" w:hAnsi="Cambria Math"/>
                </w:rPr>
                <m:t>β</m:t>
              </m:r>
            </m:e>
            <m:sub>
              <m:r>
                <m:rPr/>
                <w:rPr>
                  <w:rFonts w:ascii="Cambria Math" w:hAnsi="Cambria Math"/>
                </w:rPr>
                <m:t>m</m:t>
              </m:r>
            </m:sub>
          </m:sSub>
          <m:sSub>
            <m:sSubPr/>
            <m:e>
              <m:r>
                <m:rPr/>
                <w:rPr>
                  <w:rFonts w:ascii="Cambria Math" w:hAnsi="Cambria Math"/>
                </w:rPr>
                <m:t>z</m:t>
              </m:r>
            </m:e>
            <m:sub>
              <m:r>
                <m:rPr/>
                <w:rPr>
                  <w:rFonts w:ascii="Cambria Math" w:hAnsi="Cambria Math"/>
                </w:rPr>
                <m:t>im</m:t>
              </m:r>
            </m:sub>
          </m:sSub>
          <m:r>
            <m:rPr/>
            <w:rPr>
              <w:rFonts w:ascii="Cambria Math" w:hAnsi="Cambria Math"/>
            </w:rPr>
            <m:t>+</m:t>
          </m:r>
          <m:sSup>
            <m:sSupPr/>
            <m:e>
              <m:r>
                <m:rPr/>
                <w:rPr>
                  <w:rFonts w:ascii="Cambria Math" w:hAnsi="Cambria Math"/>
                </w:rPr>
                <m:t>γ</m:t>
              </m:r>
            </m:e>
            <m:sup>
              <m:r>
                <m:rPr/>
                <w:rPr>
                  <w:rFonts w:ascii="Cambria Math" w:hAnsi="Cambria Math"/>
                </w:rPr>
                <m:t>T</m:t>
              </m:r>
            </m:sup>
          </m:sSup>
          <m:sSub>
            <m:sSubPr/>
            <m:e>
              <m:r>
                <m:rPr/>
                <w:rPr>
                  <w:rFonts w:ascii="Cambria Math" w:hAnsi="Cambria Math"/>
                </w:rPr>
                <m:t>c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3B641DF3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通过标准化回归系数的绝对值衡量不同体质维度的净贡献度，避免混杂因素导致的"体质无用"片面结论。</w:t>
      </w:r>
    </w:p>
    <w:p w14:paraId="0E56A6DA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5.1.5 求解结果</w:t>
      </w:r>
      <w:bookmarkEnd w:id="8"/>
    </w:p>
    <w:p w14:paraId="56ACB964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关键指标排序（前10）：AIP、TG、TC/HDL比值、non-HDL-C、TC、血尿酸、痰湿质得分、LDL-C、ADL总分、BMI</w:t>
      </w:r>
    </w:p>
    <w:p w14:paraId="249A1E68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体质贡献结论：痰湿质、气虚质、湿热质为高血脂高风险体质，其中痰湿质的净贡献度最高；体质主标签单独解释力有限，但连续积分与西医指标联合后可显著提升风险识别能力。</w:t>
      </w:r>
    </w:p>
    <w:p w14:paraId="52D9D70F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5.2 问题二：三级风险预警模型与高风险特征识别</w:t>
      </w:r>
      <w:bookmarkEnd w:id="9"/>
    </w:p>
    <w:p w14:paraId="74299339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5.2.1 问题定义</w:t>
      </w:r>
      <w:bookmarkEnd w:id="10"/>
    </w:p>
    <w:p w14:paraId="693D7B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构建融合中西医特征的风险预警模型，输出低/中/高三级风险并明确阈值依据，识别痰湿体质高风险人群的核心特征组合。</w:t>
      </w:r>
    </w:p>
    <w:p w14:paraId="25CFFA03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5.2.2 "规则层+模型层+中医层"三级融合预警架构</w:t>
      </w:r>
      <w:bookmarkEnd w:id="11"/>
    </w:p>
    <w:p w14:paraId="713A2C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彻底规避标签泄漏风险</w:t>
      </w:r>
      <w:r>
        <w:rPr>
          <w:rFonts w:ascii="Arial" w:hAnsi="Arial" w:eastAsia="等线" w:cs="Arial"/>
          <w:sz w:val="22"/>
        </w:rPr>
        <w:t>，明确区分"临床诊断"与"风险预警"：</w:t>
      </w:r>
    </w:p>
    <w:p w14:paraId="2D69158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临床诊断层（前置过滤）</w:t>
      </w:r>
      <w:r>
        <w:rPr>
          <w:rFonts w:ascii="Arial" w:hAnsi="Arial" w:eastAsia="等线" w:cs="Arial"/>
          <w:sz w:val="22"/>
        </w:rPr>
        <w:t>：</w:t>
      </w:r>
    </w:p>
    <w:p w14:paraId="5BC760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若血脂四项已出现异常（血脂异常项数≥1），直接判定为"已确诊高风险"，进入干预流程；仅对血脂四项正常的样本进行潜在风险预警。</w:t>
      </w:r>
    </w:p>
    <w:p w14:paraId="55E6ADE9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LightGBM模型层（风险预测）</w:t>
      </w:r>
      <w:r>
        <w:rPr>
          <w:rFonts w:ascii="Arial" w:hAnsi="Arial" w:eastAsia="等线" w:cs="Arial"/>
          <w:sz w:val="22"/>
        </w:rPr>
        <w:t>：</w:t>
      </w:r>
    </w:p>
    <w:p w14:paraId="03BE9F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输入筛选后的中西医融合特征（弱化纯血脂指标权重，提升体质、活动能力特征权重），输出个体高血脂发生概率；采用5折交叉验证训练，对比Logistic回归作为可解释性基线。</w:t>
      </w:r>
    </w:p>
    <w:p w14:paraId="30FE1175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中医功能层（风险修正）</w:t>
      </w:r>
      <w:r>
        <w:rPr>
          <w:rFonts w:ascii="Arial" w:hAnsi="Arial" w:eastAsia="等线" w:cs="Arial"/>
          <w:sz w:val="22"/>
        </w:rPr>
        <w:t>：</w:t>
      </w:r>
    </w:p>
    <w:p w14:paraId="4518B7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引入痰湿积分和活动能力总分，对模型输出概率进行修正，体现中医"整体观"和"治未病"理念。</w:t>
      </w:r>
    </w:p>
    <w:p w14:paraId="00005F69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5.2.3 规则驱动的三级风险划分</w:t>
      </w:r>
      <w:bookmarkEnd w:id="12"/>
    </w:p>
    <w:p w14:paraId="0EAF5B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直接复用文件二标准化阈值，结合模型输出概率制定划分规则：</w:t>
      </w:r>
    </w:p>
    <w:p w14:paraId="76A964F8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高风险</w:t>
      </w:r>
      <w:r>
        <w:rPr>
          <w:rFonts w:ascii="Arial" w:hAnsi="Arial" w:eastAsia="等线" w:cs="Arial"/>
          <w:sz w:val="22"/>
        </w:rPr>
        <w:t>（满足任一）：</w:t>
      </w:r>
    </w:p>
    <w:p w14:paraId="7DCB64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血脂异常项数≥2；② 血脂异常项数=1且痰湿积分≥62；③ 血脂正常且痰湿积分≥80且活动总分&lt;40</w:t>
      </w:r>
    </w:p>
    <w:p w14:paraId="06B67916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低风险</w:t>
      </w:r>
      <w:r>
        <w:rPr>
          <w:rFonts w:ascii="Arial" w:hAnsi="Arial" w:eastAsia="等线" w:cs="Arial"/>
          <w:sz w:val="22"/>
        </w:rPr>
        <w:t>（同时满足）：</w:t>
      </w:r>
    </w:p>
    <w:p w14:paraId="7356B0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血脂正常且痰湿积分&lt;60且活动总分≥40且模型预测概率&lt;0.35（0.35为ROC曲线约登指数确定的最优阈值）</w:t>
      </w:r>
    </w:p>
    <w:p w14:paraId="67FA507F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中风险</w:t>
      </w:r>
      <w:r>
        <w:rPr>
          <w:rFonts w:ascii="Arial" w:hAnsi="Arial" w:eastAsia="等线" w:cs="Arial"/>
          <w:sz w:val="22"/>
        </w:rPr>
        <w:t>：除上述两类外的所有样本</w:t>
      </w:r>
    </w:p>
    <w:p w14:paraId="6A71708A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5.2.4 基于SHAP的模型可解释性分析</w:t>
      </w:r>
      <w:bookmarkEnd w:id="13"/>
    </w:p>
    <w:p w14:paraId="7DC4DEB2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全局可解释性</w:t>
      </w:r>
      <w:r>
        <w:rPr>
          <w:rFonts w:ascii="Arial" w:hAnsi="Arial" w:eastAsia="等线" w:cs="Arial"/>
          <w:sz w:val="22"/>
        </w:rPr>
        <w:t>：</w:t>
      </w:r>
    </w:p>
    <w:p w14:paraId="3EC955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绘制SHAP summary plot展示前10个关键特征的贡献度，结合文件二图4（九种体质平均画像）、图6（相关性热力图），验证"痰湿体质是重要危险因素"的医学假设。</w:t>
      </w:r>
    </w:p>
    <w:p w14:paraId="652E4CF2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局部可解释性</w:t>
      </w:r>
      <w:r>
        <w:rPr>
          <w:rFonts w:ascii="Arial" w:hAnsi="Arial" w:eastAsia="等线" w:cs="Arial"/>
          <w:sz w:val="22"/>
        </w:rPr>
        <w:t>：</w:t>
      </w:r>
    </w:p>
    <w:p w14:paraId="0DD57D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绘制SHAP force plot对高风险个体进行逐特征解释，结合文件二图5（活动能力与痰湿关系），直观展示"高痰湿+低活动"的高风险区域。</w:t>
      </w:r>
    </w:p>
    <w:p w14:paraId="1A2AF139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交互作用分析</w:t>
      </w:r>
      <w:r>
        <w:rPr>
          <w:rFonts w:ascii="Arial" w:hAnsi="Arial" w:eastAsia="等线" w:cs="Arial"/>
          <w:sz w:val="22"/>
        </w:rPr>
        <w:t>：</w:t>
      </w:r>
    </w:p>
    <w:p w14:paraId="1E2689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计算SHAP交互值，验证"痰湿质得分×BMI""痰湿质得分×AIP"等中西医交叉特征的协同效应。</w:t>
      </w:r>
    </w:p>
    <w:p w14:paraId="360E5FC7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5.2.5 痰湿质高风险核心特征组合</w:t>
      </w:r>
      <w:bookmarkEnd w:id="14"/>
    </w:p>
    <w:p w14:paraId="220BA6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将高风险样本按"痰湿积分分层+活动能力分层+血脂异常项数"三维离散化，统计频数得到核心组合：</w:t>
      </w:r>
    </w:p>
    <w:p w14:paraId="05B6110D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全体高风险人群："痰湿低+中活动+多项异常"占比最高</w:t>
      </w:r>
    </w:p>
    <w:p w14:paraId="2BD2508A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痰湿质专属高风险人群："痰湿高+中活动+单项异常""痰湿中+中活动+多项异常""痰湿高+中活动+多项异常"为核心模式，活动能力偏低会进一步放大风险。</w:t>
      </w:r>
    </w:p>
    <w:p w14:paraId="3EFA5BB4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5.3 问题三：个性化干预方案优化模型</w:t>
      </w:r>
      <w:bookmarkEnd w:id="15"/>
    </w:p>
    <w:p w14:paraId="363B7CB4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5.3.1 问题定义</w:t>
      </w:r>
      <w:bookmarkEnd w:id="16"/>
    </w:p>
    <w:p w14:paraId="4FAEE8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针对痰湿体质患者，在中医调理标准、身体耐受度、2000元预算约束下，生成6个月最优干预方案，实现"痰湿积分最低+总成本最低"的双重目标。</w:t>
      </w:r>
    </w:p>
    <w:p w14:paraId="3C92708A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5.3.2 模型假设与参数定义</w:t>
      </w:r>
      <w:bookmarkEnd w:id="17"/>
    </w:p>
    <w:p w14:paraId="637E410C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决策变量</w:t>
      </w:r>
      <w:r>
        <w:rPr>
          <w:rFonts w:ascii="Arial" w:hAnsi="Arial" w:eastAsia="等线" w:cs="Arial"/>
          <w:sz w:val="22"/>
        </w:rPr>
        <w:t>：</w:t>
      </w:r>
    </w:p>
    <w:p w14:paraId="2214C14A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中医调理等级</w:t>
      </w:r>
      <m:oMath>
        <m:sSub>
          <m:sSubPr/>
          <m:e>
            <m:r>
              <m:rPr/>
              <w:rPr>
                <w:rFonts w:ascii="Cambria Math" w:hAnsi="Cambria Math"/>
              </w:rPr>
              <m:t>g</m:t>
            </m:r>
          </m:e>
          <m:sub>
            <m:r>
              <m:rPr/>
              <w:rPr>
                <w:rFonts w:ascii="Cambria Math" w:hAnsi="Cambria Math"/>
              </w:rPr>
              <m:t>t</m:t>
            </m:r>
          </m:sub>
        </m:sSub>
      </m:oMath>
      <w:r>
        <w:rPr>
          <w:rFonts w:ascii="Arial" w:hAnsi="Arial" w:eastAsia="等线" w:cs="Arial"/>
          <w:sz w:val="22"/>
        </w:rPr>
        <w:t>（第t个月，取值1/2/3级）</w:t>
      </w:r>
    </w:p>
    <w:p w14:paraId="13B528F4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活动干预强度</w:t>
      </w:r>
      <m:oMath>
        <m:sSub>
          <m:sSubPr/>
          <m:e>
            <m:r>
              <m:rPr/>
              <w:rPr>
                <w:rFonts w:ascii="Cambria Math" w:hAnsi="Cambria Math"/>
              </w:rPr>
              <m:t>u</m:t>
            </m:r>
          </m:e>
          <m:sub>
            <m:r>
              <m:rPr/>
              <w:rPr>
                <w:rFonts w:ascii="Cambria Math" w:hAnsi="Cambria Math"/>
              </w:rPr>
              <m:t>t</m:t>
            </m:r>
          </m:sub>
        </m:sSub>
      </m:oMath>
      <w:r>
        <w:rPr>
          <w:rFonts w:ascii="Arial" w:hAnsi="Arial" w:eastAsia="等线" w:cs="Arial"/>
          <w:sz w:val="22"/>
        </w:rPr>
        <w:t>（第t个月，取值1/2/3级）</w:t>
      </w:r>
    </w:p>
    <w:p w14:paraId="050D9144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每周训练频次</w:t>
      </w:r>
      <m:oMath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t</m:t>
            </m:r>
          </m:sub>
        </m:sSub>
      </m:oMath>
      <w:r>
        <w:rPr>
          <w:rFonts w:ascii="Arial" w:hAnsi="Arial" w:eastAsia="等线" w:cs="Arial"/>
          <w:sz w:val="22"/>
        </w:rPr>
        <w:t>（第t个月，取值1-10）</w:t>
      </w:r>
    </w:p>
    <w:p w14:paraId="52B4AF04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参数定义（严格参照赛题附表2、3）</w:t>
      </w:r>
      <w:r>
        <w:rPr>
          <w:rFonts w:ascii="Arial" w:hAnsi="Arial" w:eastAsia="等线" w:cs="Arial"/>
          <w:sz w:val="22"/>
        </w:rPr>
        <w:t>：</w:t>
      </w:r>
    </w:p>
    <w:p w14:paraId="7253DE95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中医调理：1级（月成本30元，月降幅1%）、2级（月成本80元，月降幅2%）、3级（月成本130元，月降幅3%）</w:t>
      </w:r>
    </w:p>
    <w:p w14:paraId="47AEED24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活动干预：1级（单次3元）、2级（单次5元）、3级（单次8元）；每周≥5次起效，每升1级强度月增3%降幅，每增1次频次月增1%降幅</w:t>
      </w:r>
    </w:p>
    <w:p w14:paraId="45866231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约束：活动强度需同时满足年龄和活动能力分层限制，单人6个月总成本≤2000元，月总降幅≤20%</w:t>
      </w:r>
    </w:p>
    <w:p w14:paraId="0AFCD15A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5.3.3 痰湿积分动态更新模型</w:t>
      </w:r>
      <w:bookmarkEnd w:id="18"/>
    </w:p>
    <w:p w14:paraId="3A647D19">
      <w:pPr>
        <w:spacing w:before="120" w:after="120" w:line="288" w:lineRule="auto"/>
        <w:ind w:left="0"/>
        <w:jc w:val="left"/>
      </w:pPr>
      <m:oMathPara>
        <m:oMath>
          <m:sSub>
            <m:sSubPr/>
            <m:e>
              <m:r>
                <m:rPr/>
                <w:rPr>
                  <w:rFonts w:ascii="Cambria Math" w:hAnsi="Cambria Math"/>
                </w:rPr>
                <m:t>s</m:t>
              </m:r>
            </m:e>
            <m:sub>
              <m:r>
                <m:rPr/>
                <w:rPr>
                  <w:rFonts w:ascii="Cambria Math" w:hAnsi="Cambria Math"/>
                </w:rPr>
                <m:t>t+1</m:t>
              </m:r>
            </m:sub>
          </m:sSub>
          <m:r>
            <m:rPr/>
            <w:rPr>
              <w:rFonts w:ascii="Cambria Math" w:hAnsi="Cambria Math"/>
            </w:rPr>
            <m:t>=</m:t>
          </m:r>
          <m:sSub>
            <m:sSubPr/>
            <m:e>
              <m:r>
                <m:rPr/>
                <w:rPr>
                  <w:rFonts w:ascii="Cambria Math" w:hAnsi="Cambria Math"/>
                </w:rPr>
                <m:t>s</m:t>
              </m:r>
            </m:e>
            <m:sub>
              <m:r>
                <m:rPr/>
                <w:rPr>
                  <w:rFonts w:ascii="Cambria Math" w:hAnsi="Cambria Math"/>
                </w:rPr>
                <m:t>t</m:t>
              </m:r>
            </m:sub>
          </m:sSub>
          <m:r>
            <m:rPr/>
            <w:rPr>
              <w:rFonts w:ascii="Cambria Math" w:hAnsi="Cambria Math"/>
            </w:rPr>
            <m:t>⋅</m:t>
          </m:r>
          <m:d>
            <m:dPr>
              <m:sepChr m:val=","/>
            </m:dPr>
            <m:e>
              <m:r>
                <m:rPr/>
                <w:rPr>
                  <w:rFonts w:ascii="Cambria Math" w:hAnsi="Cambria Math"/>
                </w:rPr>
                <m:t>1−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</m:oMath>
      </m:oMathPara>
    </w:p>
    <w:p w14:paraId="3C799C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其中总月降幅</w:t>
      </w:r>
      <m:oMath>
        <m:sSub>
          <m:sSubPr/>
          <m:e>
            <m:r>
              <m:rPr/>
              <w:rPr>
                <w:rFonts w:ascii="Cambria Math" w:hAnsi="Cambria Math"/>
              </w:rPr>
              <m:t>r</m:t>
            </m:r>
          </m:e>
          <m:sub>
            <m:r>
              <m:rPr/>
              <w:rPr>
                <w:rFonts w:ascii="Cambria Math" w:hAnsi="Cambria Math"/>
              </w:rPr>
              <m:t>t</m:t>
            </m:r>
          </m:sub>
        </m:sSub>
        <m:r>
          <m:rPr/>
          <w:rPr>
            <w:rFonts w:ascii="Cambria Math" w:hAnsi="Cambria Math"/>
          </w:rPr>
          <m:t>=</m:t>
        </m:r>
        <m:sSub>
          <m:sSubPr/>
          <m:e>
            <m:r>
              <m:rPr/>
              <w:rPr>
                <w:rFonts w:ascii="Cambria Math" w:hAnsi="Cambria Math"/>
              </w:rPr>
              <m:t>r</m:t>
            </m:r>
          </m:e>
          <m:sub>
            <m:r>
              <m:rPr/>
              <w:rPr>
                <w:rFonts w:ascii="Cambria Math" w:hAnsi="Cambria Math"/>
              </w:rPr>
              <m:t>TCM</m:t>
            </m:r>
          </m:sub>
        </m:sSub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/>
                  </w:rPr>
                  <m:t>g</m:t>
                </m:r>
              </m:e>
              <m:sub>
                <m:r>
                  <m:rPr/>
                  <w:rPr>
                    <w:rFonts w:ascii="Cambria Math" w:hAnsi="Cambria Math"/>
                  </w:rPr>
                  <m:t>t</m:t>
                </m:r>
              </m:sub>
            </m:sSub>
          </m:e>
        </m:d>
        <m:r>
          <m:rPr/>
          <w:rPr>
            <w:rFonts w:ascii="Cambria Math" w:hAnsi="Cambria Math"/>
          </w:rPr>
          <m:t>+</m:t>
        </m:r>
        <m:sSub>
          <m:sSubPr/>
          <m:e>
            <m:r>
              <m:rPr/>
              <w:rPr>
                <w:rFonts w:ascii="Cambria Math" w:hAnsi="Cambria Math"/>
              </w:rPr>
              <m:t>r</m:t>
            </m:r>
          </m:e>
          <m:sub>
            <m:r>
              <m:rPr/>
              <w:rPr>
                <w:rFonts w:ascii="Cambria Math" w:hAnsi="Cambria Math"/>
              </w:rPr>
              <m:t>act</m:t>
            </m:r>
          </m:sub>
        </m:sSub>
        <m:d>
          <m:dPr>
            <m:sepChr m:val=","/>
          </m:dPr>
          <m:e>
            <m:sSub>
              <m:sSubPr/>
              <m:e>
                <m:r>
                  <m:rPr/>
                  <w:rPr>
                    <w:rFonts w:ascii="Cambria Math" w:hAnsi="Cambria Math"/>
                  </w:rPr>
                  <m:t>u</m:t>
                </m:r>
              </m:e>
              <m:sub>
                <m:r>
                  <m:rPr/>
                  <w:rPr>
                    <w:rFonts w:ascii="Cambria Math" w:hAnsi="Cambria Math"/>
                  </w:rPr>
                  <m:t>t</m:t>
                </m:r>
              </m:sub>
            </m:sSub>
          </m:e>
          <m:e>
            <m:sSub>
              <m:sSubPr/>
              <m:e>
                <m:r>
                  <m:rPr/>
                  <w:rPr>
                    <w:rFonts w:ascii="Cambria Math" w:hAnsi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>
        <w:rPr>
          <w:rFonts w:ascii="Arial" w:hAnsi="Arial" w:eastAsia="等线" w:cs="Arial"/>
          <w:sz w:val="22"/>
        </w:rPr>
        <w:t>，活动降幅：</w:t>
      </w:r>
    </w:p>
    <w:p w14:paraId="63673E8A">
      <w:pPr>
        <w:spacing w:before="120" w:after="120" w:line="288" w:lineRule="auto"/>
        <w:ind w:left="0"/>
        <w:jc w:val="left"/>
      </w:pPr>
      <m:oMathPara>
        <m:oMath>
          <m:sSub>
            <m:sSubPr/>
            <m:e>
              <m:r>
                <m:rPr/>
                <w:rPr>
                  <w:rFonts w:ascii="Cambria Math" w:hAnsi="Cambria Math"/>
                </w:rPr>
                <m:t>r</m:t>
              </m:r>
            </m:e>
            <m:sub>
              <m:r>
                <m:rPr/>
                <w:rPr>
                  <w:rFonts w:ascii="Cambria Math" w:hAnsi="Cambria Math"/>
                </w:rPr>
                <m:t>act</m:t>
              </m:r>
            </m:sub>
          </m:sSub>
          <m:d>
            <m:dPr>
              <m:sepChr m:val=","/>
            </m:dPr>
            <m:e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t</m:t>
                  </m:r>
                </m:sub>
              </m:sSub>
            </m:e>
            <m:e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m:rPr/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/>
                      <w:rPr>
                        <w:rFonts w:ascii="Cambria Math" w:hAnsi="Cambria Math"/>
                      </w:rPr>
                      <m:t>&lt;5</m:t>
                    </m: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0.03</m:t>
                    </m:r>
                    <m:d>
                      <m:dPr>
                        <m:sepChr m:val=","/>
                      </m:dPr>
                      <m:e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</w:rPr>
                          <m:t>−1</m:t>
                        </m:r>
                      </m:e>
                    </m:d>
                    <m:r>
                      <m:rPr/>
                      <w:rPr>
                        <w:rFonts w:ascii="Cambria Math" w:hAnsi="Cambria Math"/>
                      </w:rPr>
                      <m:t>+0.01</m:t>
                    </m:r>
                    <m:d>
                      <m:dPr>
                        <m:sepChr m:val=","/>
                      </m:dPr>
                      <m:e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</w:rPr>
                          <m:t>−5</m:t>
                        </m:r>
                      </m:e>
                    </m:d>
                    <m:r>
                      <m:rPr/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/>
                      <w:rPr>
                        <w:rFonts w:ascii="Cambria Math" w:hAnsi="Cambria Math"/>
                      </w:rPr>
                      <m:t>≥5</m:t>
                    </m:r>
                  </m:e>
                </m:mr>
              </m:m>
            </m:e>
          </m:d>
        </m:oMath>
      </m:oMathPara>
    </w:p>
    <w:p w14:paraId="219DCD05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5.3.4 双目标优化模型与求解</w:t>
      </w:r>
      <w:bookmarkEnd w:id="19"/>
    </w:p>
    <w:p w14:paraId="7E17DCE6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目标函数（词典序优化）</w:t>
      </w:r>
      <w:r>
        <w:rPr>
          <w:rFonts w:ascii="Arial" w:hAnsi="Arial" w:eastAsia="等线" w:cs="Arial"/>
          <w:sz w:val="22"/>
        </w:rPr>
        <w:t>：</w:t>
      </w:r>
    </w:p>
    <w:p w14:paraId="3BAE2B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第一优先级：最小化6个月末痰湿积分</w:t>
      </w:r>
      <m:oMath>
        <m:sSub>
          <m:sSubPr/>
          <m:e>
            <m:r>
              <m:rPr/>
              <w:rPr>
                <w:rFonts w:ascii="Cambria Math" w:hAnsi="Cambria Math"/>
              </w:rPr>
              <m:t>s</m:t>
            </m:r>
          </m:e>
          <m:sub>
            <m:r>
              <m:rPr/>
              <w:rPr>
                <w:rFonts w:ascii="Cambria Math" w:hAnsi="Cambria Math"/>
              </w:rPr>
              <m:t>7</m:t>
            </m:r>
          </m:sub>
        </m:sSub>
      </m:oMath>
    </w:p>
    <w:p w14:paraId="18AF2F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第二优先级：最小化6个月总成本</w:t>
      </w:r>
      <m:oMath>
        <m:r>
          <m:rPr/>
          <w:rPr>
            <w:rFonts w:ascii="Cambria Math" w:hAnsi="Cambria Math"/>
          </w:rPr>
          <m:t>C=</m:t>
        </m:r>
        <m:nary>
          <m:naryPr>
            <m:chr m:val="∑"/>
            <m:grow m:val="1"/>
            <m:limLoc m:val="subSup"/>
          </m:naryPr>
          <m:sub>
            <m:r>
              <m:rPr/>
              <w:rPr>
                <w:rFonts w:ascii="Cambria Math" w:hAnsi="Cambria Math"/>
              </w:rPr>
              <m:t>t=1</m:t>
            </m:r>
          </m:sub>
          <m:sup>
            <m:r>
              <m:rPr/>
              <w:rPr>
                <w:rFonts w:ascii="Cambria Math" w:hAnsi="Cambria Math"/>
              </w:rPr>
              <m:t>6</m:t>
            </m:r>
          </m:sup>
          <m:e/>
        </m:nary>
        <m:d>
          <m:dPr>
            <m:begChr m:val="["/>
            <m:sepChr m:val=","/>
            <m:endChr m:val="]"/>
          </m:dPr>
          <m:e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TCM</m:t>
                </m:r>
              </m:sub>
            </m:sSub>
            <m:d>
              <m:dPr>
                <m:sepChr m:val=","/>
              </m:dPr>
              <m:e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d>
            <m:r>
              <m:rPr/>
              <w:rPr>
                <w:rFonts w:ascii="Cambria Math" w:hAnsi="Cambria Math"/>
              </w:rPr>
              <m:t>+4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/>
                  </w:rPr>
                  <m:t>t</m:t>
                </m:r>
              </m:sub>
            </m:sSub>
            <m:r>
              <m:rPr/>
              <w:rPr>
                <w:rFonts w:ascii="Cambria Math" w:hAnsi="Cambria Math"/>
              </w:rPr>
              <m:t>⋅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/>
                  </w:rPr>
                  <m:t>act</m:t>
                </m:r>
              </m:sub>
            </m:sSub>
            <m:d>
              <m:dPr>
                <m:sepChr m:val=","/>
              </m:dPr>
              <m:e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d>
          </m:e>
        </m:d>
      </m:oMath>
    </w:p>
    <w:p w14:paraId="63F1AD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第三优先级：最小化活动强度与频次（提升依从性）</w:t>
      </w:r>
    </w:p>
    <w:p w14:paraId="0023F22D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求解方法</w:t>
      </w:r>
      <w:r>
        <w:rPr>
          <w:rFonts w:ascii="Arial" w:hAnsi="Arial" w:eastAsia="等线" w:cs="Arial"/>
          <w:sz w:val="22"/>
        </w:rPr>
        <w:t>：</w:t>
      </w:r>
    </w:p>
    <w:p w14:paraId="0C35B12B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基础方案：采用枚举法求解固定周计划（与初稿一致），保证结果可复现</w:t>
      </w:r>
    </w:p>
    <w:p w14:paraId="3210B6A1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优化方案：采用动态规划求解月度可变方案，对比固定方案的效果差异（呼应手写笔记建议）</w:t>
      </w:r>
    </w:p>
    <w:p w14:paraId="068496CA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5.3.5 求解结果</w:t>
      </w:r>
      <w:bookmarkEnd w:id="20"/>
    </w:p>
    <w:p w14:paraId="0781C25D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分层规律：活动能力&lt;40分者最优方案为"1级强度+每周10次"；40-59分者为"2级强度+每周10次"；≥60分且年龄较轻者可采用"3级强度+每周8-9次"</w:t>
      </w:r>
    </w:p>
    <w:p w14:paraId="43CA1BE6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典型样本示例：</w:t>
      </w:r>
    </w:p>
    <w:p w14:paraId="18E47A5D">
      <w:pPr>
        <w:numPr>
          <w:ilvl w:val="0"/>
          <w:numId w:val="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ID=1：活动强度1级+每周10次，6个月末痰湿积分42.75，总成本1050元</w:t>
      </w:r>
    </w:p>
    <w:p w14:paraId="01EA9050"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ID=2：活动强度2级+每周10次，6个月末痰湿积分32.94，总成本1380元</w:t>
      </w:r>
    </w:p>
    <w:p w14:paraId="4043AFE2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ID=3：活动强度3级+每周9次，6个月末痰湿积分28.99，总成本1958元</w:t>
      </w:r>
    </w:p>
    <w:p w14:paraId="115705DD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成本效益：联合干预的单位痰湿积分下降成本显著低于单一干预，平均每降低1分痰湿积分成本约12-18元。</w:t>
      </w:r>
    </w:p>
    <w:p w14:paraId="356EABEE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5.4 模型评价与消融实验</w:t>
      </w:r>
      <w:bookmarkEnd w:id="21"/>
    </w:p>
    <w:p w14:paraId="4E092F42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5.4.1 预测任务评价</w:t>
      </w:r>
      <w:bookmarkEnd w:id="2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4E552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D78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559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5折交叉验证AUC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0D3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Macro-F1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680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召回率</w:t>
            </w:r>
          </w:p>
        </w:tc>
      </w:tr>
      <w:tr w14:paraId="426597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588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纯规则模型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3E2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0.892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565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0.765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3C6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0.813</w:t>
            </w:r>
          </w:p>
        </w:tc>
      </w:tr>
      <w:tr w14:paraId="752C07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51C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单一Logistic回归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FED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0.927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CD3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8C9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0.856</w:t>
            </w:r>
          </w:p>
        </w:tc>
      </w:tr>
      <w:tr w14:paraId="3F30C7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88F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单一LightGBM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E02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0.954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6FE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0.842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F29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0.897</w:t>
            </w:r>
          </w:p>
        </w:tc>
      </w:tr>
      <w:tr w14:paraId="6270DF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DFB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本文三级融合模型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7B3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0.961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F1B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0.865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53E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0.923</w:t>
            </w:r>
          </w:p>
        </w:tc>
      </w:tr>
    </w:tbl>
    <w:p w14:paraId="1BBEF393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5.4.2 干预任务评价</w:t>
      </w:r>
      <w:bookmarkEnd w:id="23"/>
    </w:p>
    <w:p w14:paraId="5BC57B8E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风险降级率：92.4%的高风险患者经6个月干预后痰湿积分降至≤58分（基础调理阈值）</w:t>
      </w:r>
    </w:p>
    <w:p w14:paraId="2F84C9E3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依从性：95%以上的方案每周训练时长≤7小时，符合中老年人身体耐受度</w:t>
      </w:r>
    </w:p>
    <w:p w14:paraId="76A3F0B0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预算达标率：所有方案总成本均≤2000元，平均成本1260元</w:t>
      </w:r>
    </w:p>
    <w:p w14:paraId="17C65F23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5.4.3 针对性消融实验</w:t>
      </w:r>
      <w:bookmarkEnd w:id="24"/>
    </w:p>
    <w:p w14:paraId="593090E6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加入代谢派生指标 vs 仅用原始指标：AUC提升0.032，验证派生指标价值</w:t>
      </w:r>
    </w:p>
    <w:p w14:paraId="3B2AAE6D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体质标签+积分 vs 仅用积分：召回率提升0.028，验证离散标签的补充作用</w:t>
      </w:r>
    </w:p>
    <w:p w14:paraId="1286FE99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三级融合模型 vs 单一LightGBM：召回率提升0.026，验证规则与中医层的修正作用</w:t>
      </w:r>
    </w:p>
    <w:p w14:paraId="5706B39B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规避标签泄漏模型 vs 直接用血脂指标：前者可识别17.2%血脂正常的潜在高风险人群，体现"治未病"价值</w:t>
      </w:r>
    </w:p>
    <w:p w14:paraId="7111BFE4">
      <w:pPr>
        <w:spacing w:before="120" w:after="120" w:line="288" w:lineRule="auto"/>
        <w:ind w:left="0"/>
        <w:jc w:val="left"/>
      </w:pPr>
      <w:bookmarkStart w:id="25" w:name="_GoBack"/>
      <w:bookmarkEnd w:id="2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BA42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4B279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7D140E4"/>
    <w:multiLevelType w:val="singleLevel"/>
    <w:tmpl w:val="D7D140E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D7F9FE59"/>
    <w:multiLevelType w:val="singleLevel"/>
    <w:tmpl w:val="D7F9FE5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F0E89278"/>
    <w:multiLevelType w:val="singleLevel"/>
    <w:tmpl w:val="F0E8927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1C257C7B"/>
    <w:multiLevelType w:val="singleLevel"/>
    <w:tmpl w:val="1C257C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1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30FC5B15"/>
    <w:multiLevelType w:val="singleLevel"/>
    <w:tmpl w:val="30FC5B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32A7AF2D"/>
    <w:multiLevelType w:val="singleLevel"/>
    <w:tmpl w:val="32A7AF2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">
    <w:nsid w:val="39A0D9AC"/>
    <w:multiLevelType w:val="singleLevel"/>
    <w:tmpl w:val="39A0D9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9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1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4D94DA66"/>
    <w:multiLevelType w:val="singleLevel"/>
    <w:tmpl w:val="4D94DA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5FFFB1A7"/>
    <w:multiLevelType w:val="singleLevel"/>
    <w:tmpl w:val="5FFFB1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3">
    <w:nsid w:val="74C28B35"/>
    <w:multiLevelType w:val="singleLevel"/>
    <w:tmpl w:val="74C28B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4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79AA4FA4"/>
    <w:multiLevelType w:val="singleLevel"/>
    <w:tmpl w:val="79AA4FA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6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7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3"/>
  </w:num>
  <w:num w:numId="2">
    <w:abstractNumId w:val="15"/>
  </w:num>
  <w:num w:numId="3">
    <w:abstractNumId w:val="45"/>
  </w:num>
  <w:num w:numId="4">
    <w:abstractNumId w:val="13"/>
  </w:num>
  <w:num w:numId="5">
    <w:abstractNumId w:val="9"/>
  </w:num>
  <w:num w:numId="6">
    <w:abstractNumId w:val="25"/>
  </w:num>
  <w:num w:numId="7">
    <w:abstractNumId w:val="33"/>
  </w:num>
  <w:num w:numId="8">
    <w:abstractNumId w:val="52"/>
  </w:num>
  <w:num w:numId="9">
    <w:abstractNumId w:val="24"/>
  </w:num>
  <w:num w:numId="10">
    <w:abstractNumId w:val="5"/>
  </w:num>
  <w:num w:numId="11">
    <w:abstractNumId w:val="34"/>
  </w:num>
  <w:num w:numId="12">
    <w:abstractNumId w:val="46"/>
  </w:num>
  <w:num w:numId="13">
    <w:abstractNumId w:val="14"/>
  </w:num>
  <w:num w:numId="14">
    <w:abstractNumId w:val="42"/>
  </w:num>
  <w:num w:numId="15">
    <w:abstractNumId w:val="21"/>
  </w:num>
  <w:num w:numId="16">
    <w:abstractNumId w:val="32"/>
  </w:num>
  <w:num w:numId="17">
    <w:abstractNumId w:val="18"/>
  </w:num>
  <w:num w:numId="18">
    <w:abstractNumId w:val="17"/>
  </w:num>
  <w:num w:numId="19">
    <w:abstractNumId w:val="7"/>
  </w:num>
  <w:num w:numId="20">
    <w:abstractNumId w:val="40"/>
  </w:num>
  <w:num w:numId="21">
    <w:abstractNumId w:val="49"/>
  </w:num>
  <w:num w:numId="22">
    <w:abstractNumId w:val="28"/>
  </w:num>
  <w:num w:numId="23">
    <w:abstractNumId w:val="39"/>
  </w:num>
  <w:num w:numId="24">
    <w:abstractNumId w:val="8"/>
  </w:num>
  <w:num w:numId="25">
    <w:abstractNumId w:val="56"/>
  </w:num>
  <w:num w:numId="26">
    <w:abstractNumId w:val="54"/>
  </w:num>
  <w:num w:numId="27">
    <w:abstractNumId w:val="12"/>
  </w:num>
  <w:num w:numId="28">
    <w:abstractNumId w:val="50"/>
  </w:num>
  <w:num w:numId="29">
    <w:abstractNumId w:val="6"/>
  </w:num>
  <w:num w:numId="30">
    <w:abstractNumId w:val="38"/>
  </w:num>
  <w:num w:numId="31">
    <w:abstractNumId w:val="2"/>
  </w:num>
  <w:num w:numId="32">
    <w:abstractNumId w:val="44"/>
  </w:num>
  <w:num w:numId="33">
    <w:abstractNumId w:val="57"/>
  </w:num>
  <w:num w:numId="34">
    <w:abstractNumId w:val="0"/>
  </w:num>
  <w:num w:numId="35">
    <w:abstractNumId w:val="31"/>
  </w:num>
  <w:num w:numId="36">
    <w:abstractNumId w:val="43"/>
  </w:num>
  <w:num w:numId="37">
    <w:abstractNumId w:val="22"/>
  </w:num>
  <w:num w:numId="38">
    <w:abstractNumId w:val="19"/>
  </w:num>
  <w:num w:numId="39">
    <w:abstractNumId w:val="35"/>
  </w:num>
  <w:num w:numId="40">
    <w:abstractNumId w:val="55"/>
  </w:num>
  <w:num w:numId="41">
    <w:abstractNumId w:val="11"/>
  </w:num>
  <w:num w:numId="42">
    <w:abstractNumId w:val="4"/>
  </w:num>
  <w:num w:numId="43">
    <w:abstractNumId w:val="10"/>
  </w:num>
  <w:num w:numId="44">
    <w:abstractNumId w:val="47"/>
  </w:num>
  <w:num w:numId="45">
    <w:abstractNumId w:val="1"/>
  </w:num>
  <w:num w:numId="46">
    <w:abstractNumId w:val="29"/>
  </w:num>
  <w:num w:numId="47">
    <w:abstractNumId w:val="3"/>
  </w:num>
  <w:num w:numId="48">
    <w:abstractNumId w:val="48"/>
  </w:num>
  <w:num w:numId="49">
    <w:abstractNumId w:val="53"/>
  </w:num>
  <w:num w:numId="50">
    <w:abstractNumId w:val="41"/>
  </w:num>
  <w:num w:numId="51">
    <w:abstractNumId w:val="36"/>
  </w:num>
  <w:num w:numId="52">
    <w:abstractNumId w:val="51"/>
  </w:num>
  <w:num w:numId="53">
    <w:abstractNumId w:val="26"/>
  </w:num>
  <w:num w:numId="54">
    <w:abstractNumId w:val="27"/>
  </w:num>
  <w:num w:numId="55">
    <w:abstractNumId w:val="16"/>
  </w:num>
  <w:num w:numId="56">
    <w:abstractNumId w:val="37"/>
  </w:num>
  <w:num w:numId="57">
    <w:abstractNumId w:val="30"/>
  </w:num>
  <w:num w:numId="5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C4462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3388</Words>
  <Characters>4074</Characters>
  <TotalTime>17</TotalTime>
  <ScaleCrop>false</ScaleCrop>
  <LinksUpToDate>false</LinksUpToDate>
  <CharactersWithSpaces>4117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2026-04-17T14:24:00Z</dcterms:created>
  <dc:creator>Apache POI</dc:creator>
  <cp:lastModifiedBy>宋浩诚</cp:lastModifiedBy>
  <dcterms:modified xsi:type="dcterms:W3CDTF">2026-04-17T15:31:31Z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eyJoZGlkIjoiYTgwMDI5NjdmOTNhNjEyMTAwYjZmYmU0YTdiOGZlYjQiLCJ1c2VySWQiOiIxNzQ5MTAyNjA0In0=</vt:lpwstr>
  </property>
  <property fmtid="{D5CDD505-2E9C-101B-9397-08002B2CF9AE}" pid="3" name="KSOProductBuildVer">
    <vt:lpwstr>2052-12.1.0.22529</vt:lpwstr>
  </property>
  <property fmtid="{D5CDD505-2E9C-101B-9397-08002B2CF9AE}" pid="4" name="ICV">
    <vt:lpwstr>27FE48458783494294976A63345A2A09_12</vt:lpwstr>
  </property>
</Properties>
</file>