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Xeabf75db30648faaf43e976c6d70cf1b09763dd"/>
    <w:p>
      <w:pPr>
        <w:pStyle w:val="Heading1"/>
      </w:pPr>
      <w:r>
        <w:t xml:space="preserve">Новости V2: аудит, новая архитектура и интерфейс</w:t>
      </w:r>
    </w:p>
    <w:p>
      <w:pPr>
        <w:pStyle w:val="FirstParagraph"/>
      </w:pPr>
      <w:r>
        <w:rPr>
          <w:b/>
          <w:bCs/>
        </w:rPr>
        <w:t xml:space="preserve">9 сентября 2026 года.</w:t>
      </w:r>
      <w:r>
        <w:t xml:space="preserve"> </w:t>
      </w:r>
      <w:r>
        <w:t xml:space="preserve">Проверены текущий MVP, отдельный новостной сервис и каталог из 1 515 строк. Подробный технический документ:</w:t>
      </w:r>
      <w:r>
        <w:t xml:space="preserve"> </w:t>
      </w:r>
      <w:hyperlink r:id="rId18">
        <w:r>
          <w:rPr>
            <w:rStyle w:val="Hyperlink"/>
          </w:rPr>
          <w:t xml:space="preserve">News architecture V2</w:t>
        </w:r>
      </w:hyperlink>
      <w:r>
        <w:t xml:space="preserve">.</w:t>
      </w:r>
    </w:p>
    <w:bookmarkStart w:id="19" w:name="вывод"/>
    <w:p>
      <w:pPr>
        <w:pStyle w:val="Heading2"/>
      </w:pPr>
      <w:r>
        <w:t xml:space="preserve">Вывод</w:t>
      </w:r>
    </w:p>
    <w:p>
      <w:pPr>
        <w:pStyle w:val="FirstParagraph"/>
      </w:pPr>
      <w:r>
        <w:t xml:space="preserve">Текущую версию сохранили, а для следующего этапа создали отдельную страницу</w:t>
      </w:r>
      <w:r>
        <w:t xml:space="preserve"> </w:t>
      </w:r>
      <w:r>
        <w:rPr>
          <w:b/>
          <w:bCs/>
        </w:rPr>
        <w:t xml:space="preserve">Global News 2</w:t>
      </w:r>
      <w:r>
        <w:t xml:space="preserve">. В ней есть бесплатные официальные публикации, чтение внутри платформы, выбор источников, подключение внешних API, поиск, каталог компаний, новости портфеля и отдельной компании.</w:t>
      </w:r>
    </w:p>
    <w:p>
      <w:pPr>
        <w:pStyle w:val="BodyText"/>
      </w:pPr>
      <w:r>
        <w:t xml:space="preserve">Бесплатный вариант позволяет читать поддерживаемые официальные релизы без подписки на издателя. Он</w:t>
      </w:r>
      <w:r>
        <w:t xml:space="preserve"> </w:t>
      </w:r>
      <w:r>
        <w:rPr>
          <w:b/>
          <w:bCs/>
        </w:rPr>
        <w:t xml:space="preserve">не означает бесплатный доступ ко всем статьям Reuters, Bloomberg и других СМИ</w:t>
      </w:r>
      <w:r>
        <w:t xml:space="preserve"> </w:t>
      </w:r>
      <w:r>
        <w:t xml:space="preserve">и не обеспечивает полное покрытие 50 000 компаний. Для полноценной коммерческой ленты понадобится договор с поставщиком. Технический API-доступ и право показывать материал клиентам — разные условия.</w:t>
      </w:r>
    </w:p>
    <w:bookmarkEnd w:id="19"/>
    <w:bookmarkStart w:id="20" w:name="что-сохранено"/>
    <w:p>
      <w:pPr>
        <w:pStyle w:val="Heading2"/>
      </w:pPr>
      <w:r>
        <w:t xml:space="preserve">Что сохранено</w:t>
      </w:r>
    </w:p>
    <w:p>
      <w:pPr>
        <w:pStyle w:val="FirstParagraph"/>
      </w:pPr>
      <w:r>
        <w:t xml:space="preserve">В обоих Git-репозиториях создан тег</w:t>
      </w:r>
      <w:r>
        <w:t xml:space="preserve"> </w:t>
      </w:r>
      <w:r>
        <w:rPr>
          <w:rStyle w:val="VerbatimChar"/>
        </w:rPr>
        <w:t xml:space="preserve">snapshot/news-v1-polymarket-20260909</w:t>
      </w:r>
      <w:r>
        <w:t xml:space="preserve">. Исходные коммиты: MVP —</w:t>
      </w:r>
      <w:r>
        <w:t xml:space="preserve"> </w:t>
      </w:r>
      <w:r>
        <w:rPr>
          <w:rStyle w:val="VerbatimChar"/>
        </w:rPr>
        <w:t xml:space="preserve">6e6c273</w:t>
      </w:r>
      <w:r>
        <w:t xml:space="preserve">, новостной сервис —</w:t>
      </w:r>
      <w:r>
        <w:t xml:space="preserve"> </w:t>
      </w:r>
      <w:r>
        <w:rPr>
          <w:rStyle w:val="VerbatimChar"/>
        </w:rPr>
        <w:t xml:space="preserve">c909cc2</w:t>
      </w:r>
      <w:r>
        <w:t xml:space="preserve">. Новая работа ведётся в ветках</w:t>
      </w:r>
      <w:r>
        <w:t xml:space="preserve"> </w:t>
      </w:r>
      <w:r>
        <w:rPr>
          <w:rStyle w:val="VerbatimChar"/>
        </w:rPr>
        <w:t xml:space="preserve">feature/news-v2</w:t>
      </w:r>
      <w:r>
        <w:t xml:space="preserve">.</w:t>
      </w:r>
    </w:p>
    <w:p>
      <w:pPr>
        <w:pStyle w:val="BodyText"/>
      </w:pPr>
      <w:r>
        <w:t xml:space="preserve">В приватной папке</w:t>
      </w:r>
      <w:r>
        <w:t xml:space="preserve"> </w:t>
      </w:r>
      <w:r>
        <w:rPr>
          <w:rStyle w:val="VerbatimChar"/>
        </w:rPr>
        <w:t xml:space="preserve">.local-backups/news-v1-polymarket-20260909/</w:t>
      </w:r>
      <w:r>
        <w:t xml:space="preserve"> </w:t>
      </w:r>
      <w:r>
        <w:t xml:space="preserve">сохранены исходный код, история Git, отчёты, изображения, MVP, интеграция Polymarket, согласованные резервные копии SQLite/PostgreSQL и локальная конфигурация. Есть контрольные суммы и инструкция восстановления. Эта копия содержит приватные настройки и не предназначена для публичного GitHub. Старые материалы Polymarket не заменены новым новостным отчётом.</w:t>
      </w:r>
    </w:p>
    <w:bookmarkEnd w:id="20"/>
    <w:bookmarkStart w:id="21" w:name="проблемы-исходной-архитектуры"/>
    <w:p>
      <w:pPr>
        <w:pStyle w:val="Heading2"/>
      </w:pPr>
      <w:r>
        <w:t xml:space="preserve">Проблемы исходной архитектуры</w:t>
      </w:r>
    </w:p>
    <w:p>
      <w:pPr>
        <w:pStyle w:val="FirstParagraph"/>
      </w:pPr>
      <w:r>
        <w:t xml:space="preserve">В проекте фактически два набора данных: страницы News, My Stocks и исходный Catalogue используют SQLite и 50 компаний; Global News использует отдельный PostgreSQL-сервис с 1 515 строками каталога. Простая замена CSV сломала бы часть сопоставлений: различаются колонки, названия, страны и биржевые обозначения.</w:t>
      </w:r>
    </w:p>
    <w:p>
      <w:pPr>
        <w:pStyle w:val="BodyText"/>
      </w:pPr>
      <w:r>
        <w:t xml:space="preserve">В базе обнаружено 38 244 статьи и 52 423 связи с компаниями. У 1 450 компаний были какие-либо сохранённые новости. Но последний запуск загрузки завершился</w:t>
      </w:r>
      <w:r>
        <w:t xml:space="preserve"> </w:t>
      </w:r>
      <w:r>
        <w:rPr>
          <w:b/>
          <w:bCs/>
        </w:rPr>
        <w:t xml:space="preserve">31 августа в 17:31 UTC</w:t>
      </w:r>
      <w:r>
        <w:t xml:space="preserve">, обработал одну компанию и к моменту проверки был старше восьми суток. Наличие старых статей не подтверждает актуальность ленты.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Проблема</w:t>
            </w:r>
          </w:p>
        </w:tc>
        <w:tc>
          <w:tcPr/>
          <w:p>
            <w:pPr>
              <w:pStyle w:val="Compact"/>
            </w:pPr>
            <w:r>
              <w:t xml:space="preserve">Что изменено / предусмотрено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Планировщик повторно захватывал ту же блокировку</w:t>
            </w:r>
          </w:p>
        </w:tc>
        <w:tc>
          <w:tcPr/>
          <w:p>
            <w:pPr>
              <w:pStyle w:val="Compact"/>
            </w:pPr>
            <w:r>
              <w:t xml:space="preserve">Устранена причина пропуска собственного задания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Хэш удалял кириллицу и другие не-ASCII символы</w:t>
            </w:r>
          </w:p>
        </w:tc>
        <w:tc>
          <w:tcPr/>
          <w:p>
            <w:pPr>
              <w:pStyle w:val="Compact"/>
            </w:pPr>
            <w:r>
              <w:t xml:space="preserve">Сохраняются Unicode-буквы и цифры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Тайм-аут не всегда прекращал сетевую работу</w:t>
            </w:r>
          </w:p>
        </w:tc>
        <w:tc>
          <w:tcPr/>
          <w:p>
            <w:pPr>
              <w:pStyle w:val="Compact"/>
            </w:pPr>
            <w:r>
              <w:t xml:space="preserve">Отмена передаётся в запросы и ограничители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Неполное окно API могло считаться завершённым</w:t>
            </w:r>
          </w:p>
        </w:tc>
        <w:tc>
          <w:tcPr/>
          <w:p>
            <w:pPr>
              <w:pStyle w:val="Compact"/>
            </w:pPr>
            <w:r>
              <w:t xml:space="preserve">Курсор сохраняется; подтверждённая граница загрузки двигается только после завершения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Историческая статья могла означать «подключение работает»</w:t>
            </w:r>
          </w:p>
        </w:tc>
        <w:tc>
          <w:tcPr/>
          <w:p>
            <w:pPr>
              <w:pStyle w:val="Compact"/>
            </w:pPr>
            <w:r>
              <w:t xml:space="preserve">Отдельно видны последняя попытка, успех, ошибка и квота источника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Тикер использовался как почти универсальный идентификатор</w:t>
            </w:r>
          </w:p>
        </w:tc>
        <w:tc>
          <w:tcPr/>
          <w:p>
            <w:pPr>
              <w:pStyle w:val="Compact"/>
            </w:pPr>
            <w:r>
              <w:t xml:space="preserve">Сопоставляются компания и листинг; неоднозначные случаи показываются пользователю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Все заголовки уводили на сайты издателей</w:t>
            </w:r>
          </w:p>
        </w:tc>
        <w:tc>
          <w:tcPr/>
          <w:p>
            <w:pPr>
              <w:pStyle w:val="Compact"/>
            </w:pPr>
            <w:r>
              <w:t xml:space="preserve">Добавлено внутреннее чтение и отдельная кнопка оригинала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API-ключ смешивался с правами на контент</w:t>
            </w:r>
          </w:p>
        </w:tc>
        <w:tc>
          <w:tcPr/>
          <w:p>
            <w:pPr>
              <w:pStyle w:val="Compact"/>
            </w:pPr>
            <w:r>
              <w:t xml:space="preserve">Платные источники выключены до настройки доступа и подтверждения прав</w:t>
            </w:r>
          </w:p>
        </w:tc>
      </w:tr>
    </w:tbl>
    <w:bookmarkEnd w:id="21"/>
    <w:bookmarkStart w:id="22" w:name="новая-схема"/>
    <w:p>
      <w:pPr>
        <w:pStyle w:val="Heading2"/>
      </w:pPr>
      <w:r>
        <w:t xml:space="preserve">Новая схема</w:t>
      </w:r>
    </w:p>
    <w:p>
      <w:pPr>
        <w:pStyle w:val="FirstParagraph"/>
      </w:pPr>
      <w:r>
        <w:t xml:space="preserve">Официальные RSS/API и подключённые поставщики → ограниченные задания в PostgreSQL → проверка структуры, времени и прав → статьи, версии и связи с компаниями → защищённый API → серверный прокси MVP → Global News 2.</w:t>
      </w:r>
    </w:p>
    <w:p>
      <w:pPr>
        <w:pStyle w:val="BodyText"/>
      </w:pPr>
      <w:r>
        <w:t xml:space="preserve">Лента поставщика загружается один раз и связывается с несколькими компаниями. Открытие каталога или фильтра портфеля не запускает тысячи внешних запросов. У заданий есть сохранённые курсоры, блокировки, статусы и общий бюджет реальных HTTP-запросов. Сохраняются источник, оригинальная ссылка, время публикации/обновления/получения, режим чтения, версии и удаления. HTML издателя не исполняется внутри платформы.</w:t>
      </w:r>
    </w:p>
    <w:p>
      <w:pPr>
        <w:pStyle w:val="BodyText"/>
      </w:pPr>
      <w:r>
        <w:t xml:space="preserve">Это локальный MVP для одного рабочего пространства. Перед выпуском для клиентов нужны авторизация, разделение организаций и подписок, проверка договорных прав при каждом чтении, правила хранения/удаления и нагрузочные испытания. Эти возможности нельзя заменить одной галочкой в форме подключения.</w:t>
      </w:r>
    </w:p>
    <w:bookmarkEnd w:id="22"/>
    <w:bookmarkStart w:id="23" w:name="источники-и-стоимость"/>
    <w:p>
      <w:pPr>
        <w:pStyle w:val="Heading2"/>
      </w:pPr>
      <w:r>
        <w:t xml:space="preserve">Источники и стоимость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Источник</w:t>
            </w:r>
          </w:p>
        </w:tc>
        <w:tc>
          <w:tcPr/>
          <w:p>
            <w:pPr>
              <w:pStyle w:val="Compact"/>
            </w:pPr>
            <w:r>
              <w:t xml:space="preserve">Что получаем</w:t>
            </w:r>
          </w:p>
        </w:tc>
        <w:tc>
          <w:tcPr/>
          <w:p>
            <w:pPr>
              <w:pStyle w:val="Compact"/>
            </w:pPr>
            <w:r>
              <w:t xml:space="preserve">Доступ и ограничения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Federal Reserve</w:t>
            </w:r>
          </w:p>
        </w:tc>
        <w:tc>
          <w:tcPr/>
          <w:p>
            <w:pPr>
              <w:pStyle w:val="Compact"/>
            </w:pPr>
            <w:r>
              <w:t xml:space="preserve">Официальные денежно-кредитные и регуляторные релизы, поддерживаемый текст</w:t>
            </w:r>
          </w:p>
        </w:tc>
        <w:tc>
          <w:tcPr/>
          <w:p>
            <w:pPr>
              <w:pStyle w:val="Compact"/>
            </w:pPr>
            <w:r>
              <w:t xml:space="preserve">Бесплатно, без API-ключа; атрибуция и исключения для чужих материалов [1]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ECB</w:t>
            </w:r>
          </w:p>
        </w:tc>
        <w:tc>
          <w:tcPr/>
          <w:p>
            <w:pPr>
              <w:pStyle w:val="Compact"/>
            </w:pPr>
            <w:r>
              <w:t xml:space="preserve">Отобранные институциональные пресс-релизы</w:t>
            </w:r>
          </w:p>
        </w:tc>
        <w:tc>
          <w:tcPr/>
          <w:p>
            <w:pPr>
              <w:pStyle w:val="Compact"/>
            </w:pPr>
            <w:r>
              <w:t xml:space="preserve">Бесплатно с условиями атрибуции; авторские исследования и выступления исключены. В платном продукте необходимо сообщать о бесплатном оригинале [2]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 EDGAR</w:t>
            </w:r>
          </w:p>
        </w:tc>
        <w:tc>
          <w:tcPr/>
          <w:p>
            <w:pPr>
              <w:pStyle w:val="Compact"/>
            </w:pPr>
            <w:r>
              <w:t xml:space="preserve">Метаданные и поддерживаемые документы раскрытия компаний</w:t>
            </w:r>
          </w:p>
        </w:tc>
        <w:tc>
          <w:tcPr/>
          <w:p>
            <w:pPr>
              <w:pStyle w:val="Compact"/>
            </w:pPr>
            <w:r>
              <w:t xml:space="preserve">Бесплатный публичный интерфейс; здесь реальные запросы вернули HTTP 403. Это пробел покрытия, а не успешное подключение [3]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Benzinga</w:t>
            </w:r>
          </w:p>
        </w:tc>
        <w:tc>
          <w:tcPr/>
          <w:p>
            <w:pPr>
              <w:pStyle w:val="Compact"/>
            </w:pPr>
            <w:r>
              <w:t xml:space="preserve">Финансовые новости, связи с компаниями, обновления/удаления; полный текст при соответствующем доступе</w:t>
            </w:r>
          </w:p>
        </w:tc>
        <w:tc>
          <w:tcPr/>
          <w:p>
            <w:pPr>
              <w:pStyle w:val="Compact"/>
            </w:pPr>
            <w:r>
              <w:t xml:space="preserve">API-токен и договорные права показа; стоимость для проекта пока не установлена [4]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Marketaux</w:t>
            </w:r>
          </w:p>
        </w:tc>
        <w:tc>
          <w:tcPr/>
          <w:p>
            <w:pPr>
              <w:pStyle w:val="Compact"/>
            </w:pPr>
            <w:r>
              <w:t xml:space="preserve">Глобальные заголовки, короткие описания и сущности</w:t>
            </w:r>
          </w:p>
        </w:tc>
        <w:tc>
          <w:tcPr/>
          <w:p>
            <w:pPr>
              <w:pStyle w:val="Compact"/>
            </w:pPr>
            <w:r>
              <w:t xml:space="preserve">Есть бесплатная API-квота, но коммерческий показ требует соответствующих условий. Полного текста нет и в платных планах [5]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Finnhub</w:t>
            </w:r>
          </w:p>
        </w:tc>
        <w:tc>
          <w:tcPr/>
          <w:p>
            <w:pPr>
              <w:pStyle w:val="Compact"/>
            </w:pPr>
            <w:r>
              <w:t xml:space="preserve">Общая лента или ограниченный набор запросов новостей компаний</w:t>
            </w:r>
          </w:p>
        </w:tc>
        <w:tc>
          <w:tcPr/>
          <w:p>
            <w:pPr>
              <w:pStyle w:val="Compact"/>
            </w:pPr>
            <w:r>
              <w:t xml:space="preserve">Персональный тариф не разрешает бизнес-использование даже внутри компании без письменного согласования [6]</w:t>
            </w:r>
          </w:p>
        </w:tc>
      </w:tr>
      <w:tr>
        <w:tc>
          <w:tcPr/>
          <w:p>
            <w:pPr>
              <w:pStyle w:val="Compact"/>
            </w:pPr>
            <w:r>
              <w:t xml:space="preserve">LSEG/Reuters, Factiva</w:t>
            </w:r>
          </w:p>
        </w:tc>
        <w:tc>
          <w:tcPr/>
          <w:p>
            <w:pPr>
              <w:pStyle w:val="Compact"/>
            </w:pPr>
            <w:r>
              <w:t xml:space="preserve">Корпоративные глобальные новостные продукты</w:t>
            </w:r>
          </w:p>
        </w:tc>
        <w:tc>
          <w:tcPr/>
          <w:p>
            <w:pPr>
              <w:pStyle w:val="Compact"/>
            </w:pPr>
            <w:r>
              <w:t xml:space="preserve">Перспективные кандидаты для договорной интеграции; рабочие подключения в этом MVP не заявлены [7–8]</w:t>
            </w:r>
          </w:p>
        </w:tc>
      </w:tr>
    </w:tbl>
    <w:p>
      <w:pPr>
        <w:pStyle w:val="BodyText"/>
      </w:pPr>
      <w:r>
        <w:t xml:space="preserve">Benzinga стоит рассмотреть первым для чтения полных лицензированных статей. Marketaux полезен для расширения географии и привязки коротких сообщений к компаниям. Его опубликованные месячные API-тарифы составляют $0 / $29 / $49 / $99 / $199; это не подтверждение стоимости лицензии на показ нашим клиентам. Точные квоты приведены в английской версии. [5]</w:t>
      </w:r>
    </w:p>
    <w:p>
      <w:pPr>
        <w:pStyle w:val="BodyText"/>
      </w:pPr>
      <w:r>
        <w:t xml:space="preserve">Обычная подписка пользователя на сайт СМИ не обязательно включает API или право показывать статьи через другую платформу. Формы подключения принимают API-реквизиты; пароли от сайтов, cookies и обход платного доступа не используются. Без покупки источника остаётся бесплатная официальная лента. Инфраструктура и сопровождение при этом всё равно требуют ресурсов.</w:t>
      </w:r>
    </w:p>
    <w:bookmarkEnd w:id="23"/>
    <w:bookmarkStart w:id="24" w:name="как-это-выглядит-для-пользователя"/>
    <w:p>
      <w:pPr>
        <w:pStyle w:val="Heading2"/>
      </w:pPr>
      <w:r>
        <w:t xml:space="preserve">Как это выглядит для пользователя</w:t>
      </w:r>
    </w:p>
    <w:p>
      <w:pPr>
        <w:pStyle w:val="FirstParagraph"/>
      </w:pPr>
      <w:r>
        <w:t xml:space="preserve">На Global News 2 доступны All news, Macro, My portfolio и компания из полного каталога. Можно выбрать только официальные источники, один подключённый источник или архив V1, искать новости и загружать следующую страницу. Отдельная панель показывает состояние источников и позволяет настроить подключение.</w:t>
      </w:r>
    </w:p>
    <w:p>
      <w:pPr>
        <w:pStyle w:val="BodyText"/>
      </w:pPr>
      <w:r>
        <w:t xml:space="preserve">В итоговой проверке сопоставлены все три текущие позиции портфеля. Для ASML/NASDAQ и Alphabet Class A/GOOGL добавлены отдельные проверенные соответствия с первоисточниками, датой проверки и сроком пересмотра; общие правила сопоставления не ослаблены. Подтверждение соответствия не означает наличие свежих новостей по этой компании. [9–10]</w:t>
      </w:r>
    </w:p>
    <w:p>
      <w:pPr>
        <w:pStyle w:val="BodyText"/>
      </w:pPr>
      <w:r>
        <w:t xml:space="preserve">Нажатие на новость открывает материал внутри платформы. Если получен разрешённый полный текст — показывается текст. Если API вернул только краткое описание — это обозначено как News brief. Если есть только заголовок и ссылка — интерфейс сообщает об этом. Оригинал открывается отдельным осознанным действием; на сайте издателя может потребоваться подписка.</w:t>
      </w:r>
    </w:p>
    <w:p>
      <w:pPr>
        <w:pStyle w:val="BodyText"/>
      </w:pPr>
      <w:r>
        <w:t xml:space="preserve">В исходных All News, My Stocks, новостях компании и Global News заголовки также ведут во внутренний читатель. Страница компании получила переход к её новостям V2 после проверки соответствия. Из Catalogue можно открыть полный новостной справочник, не загружая котировки всех 1 515 компаний сразу.</w:t>
      </w:r>
    </w:p>
    <w:bookmarkEnd w:id="24"/>
    <w:bookmarkStart w:id="25" w:name="актуальность-и-достоверность"/>
    <w:p>
      <w:pPr>
        <w:pStyle w:val="Heading2"/>
      </w:pPr>
      <w:r>
        <w:t xml:space="preserve">Актуальность и достоверность</w:t>
      </w:r>
    </w:p>
    <w:p>
      <w:pPr>
        <w:pStyle w:val="FirstParagraph"/>
      </w:pPr>
      <w:r>
        <w:t xml:space="preserve">Официальное происхождение повышает проверяемость, но не доказывает истинность каждого утверждения. Пресс-релиз компании остаётся заявлением компании. Мы сохраняем источник и время, отделяем публикации институтов от СМИ и агрегаторов, показываем исправления и не выдаём совпадение названия за доказанное влияние на цену акции.</w:t>
      </w:r>
    </w:p>
    <w:p>
      <w:pPr>
        <w:pStyle w:val="BodyText"/>
      </w:pPr>
      <w:r>
        <w:t xml:space="preserve">Официальные источники проверяются раз в</w:t>
      </w:r>
      <w:r>
        <w:t xml:space="preserve"> </w:t>
      </w:r>
      <w:r>
        <w:rPr>
          <w:b/>
          <w:bCs/>
        </w:rPr>
        <w:t xml:space="preserve">15 минут</w:t>
      </w:r>
      <w:r>
        <w:t xml:space="preserve">, видимая страница читает локальный кэш раз в</w:t>
      </w:r>
      <w:r>
        <w:t xml:space="preserve"> </w:t>
      </w:r>
      <w:r>
        <w:rPr>
          <w:b/>
          <w:bCs/>
        </w:rPr>
        <w:t xml:space="preserve">60 секунд</w:t>
      </w:r>
      <w:r>
        <w:t xml:space="preserve">. Для подключённых платных API задан интервал пять минут с учётом квоты. Это периодическое обновление,</w:t>
      </w:r>
      <w:r>
        <w:t xml:space="preserve"> </w:t>
      </w:r>
      <w:r>
        <w:rPr>
          <w:b/>
          <w:bCs/>
        </w:rPr>
        <w:t xml:space="preserve">не гарантированная лента в реальном времени</w:t>
      </w:r>
      <w:r>
        <w:t xml:space="preserve">. Неизменившиеся тексты релизов перепроверяются раз в сутки; исправление без изменения RSS-метаданных может появиться с такой задержкой. Время проверки и дата публикации показаны отдельно.</w:t>
      </w:r>
    </w:p>
    <w:p>
      <w:pPr>
        <w:pStyle w:val="BodyText"/>
      </w:pPr>
      <w:r>
        <w:t xml:space="preserve">Бесплатные Fed/ECB дают прежде всего макроэкономические и регуляторные материалы США/еврозоны. Они не заменяют глобальное покрытие компаний. SEC здесь недоступен; новые бесплатные новости компаний пока нельзя считать обеспеченными. Пустой фильтр не означает, что у компании не было событий.</w:t>
      </w:r>
    </w:p>
    <w:bookmarkEnd w:id="25"/>
    <w:bookmarkStart w:id="26" w:name="рост-до-10-00050-000-компаний"/>
    <w:p>
      <w:pPr>
        <w:pStyle w:val="Heading2"/>
      </w:pPr>
      <w:r>
        <w:t xml:space="preserve">Рост до 10 000–50 000 компаний</w:t>
      </w:r>
    </w:p>
    <w:p>
      <w:pPr>
        <w:pStyle w:val="FirstParagraph"/>
      </w:pPr>
      <w:r>
        <w:t xml:space="preserve">При 55 запросах в минуту один проход по 10 000 компаниям занимает примерно три часа, по 50 000 — пятнадцать часов. Опрос каждой компании раз в пять минут потребовал бы соответственно 2,88 и 14,4 миллиона запросов в сутки. Увеличение параллельности не решает ограничение квот.</w:t>
      </w:r>
    </w:p>
    <w:p>
      <w:pPr>
        <w:pStyle w:val="BodyText"/>
      </w:pPr>
      <w:r>
        <w:t xml:space="preserve">Нужны потоки поставщиков с достаточной договорной ёмкостью, массовая начальная загрузка, единый справочник эмитентов/бумаг/листингов, история переименований, качественное сопоставление сущностей, индекс поиска и измеряемый контроль задержек. Производительность следует проверять по объёму статей и одновременным пользователям, а не только по числу строк CSV. Текущий прототип не сертифицирован нагрузочным тестом на 50 000 компаний.</w:t>
      </w:r>
    </w:p>
    <w:bookmarkEnd w:id="26"/>
    <w:bookmarkStart w:id="39" w:name="реальный-интерфейс"/>
    <w:p>
      <w:pPr>
        <w:pStyle w:val="Heading2"/>
      </w:pPr>
      <w:r>
        <w:t xml:space="preserve">Реальный интерфейс</w:t>
      </w:r>
    </w:p>
    <w:p>
      <w:pPr>
        <w:pStyle w:val="FirstParagraph"/>
        <w:keepNext/>
      </w:pPr>
      <w:r>
        <w:drawing>
          <wp:inline>
            <wp:extent cx="6400800" cy="4907280"/>
            <wp:effectExtent b="0" l="0" r="0" t="0"/>
            <wp:docPr descr="Global News 2: официальные источники" title="" id="28" name="Picture"/>
            <a:graphic>
              <a:graphicData uri="http://schemas.openxmlformats.org/drawingml/2006/picture">
                <pic:pic>
                  <pic:nvPicPr>
                    <pic:cNvPr descr="screenshots/news-v2-desktop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907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Снимок работающего MVP от 9 сентября 2026 года. Видны даты публикаций, состояние источников и различие между размером каталога и покрытием новостями.</w:t>
      </w:r>
    </w:p>
    <w:p>
      <w:pPr>
        <w:pStyle w:val="BodyText"/>
        <w:keepNext/>
      </w:pPr>
      <w:r>
        <w:drawing>
          <wp:inline>
            <wp:extent cx="6400800" cy="4907280"/>
            <wp:effectExtent b="0" l="0" r="0" t="0"/>
            <wp:docPr descr="Чтение реального релиза внутри платформы" title="" id="31" name="Picture"/>
            <a:graphic>
              <a:graphicData uri="http://schemas.openxmlformats.org/drawingml/2006/picture">
                <pic:pic>
                  <pic:nvPicPr>
                    <pic:cNvPr descr="screenshots/news-v2-reader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907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Реальный релиз Federal Reserve от 4 сентября, с полученным текстом и ссылкой на оригинал. Это не демонстрационные новости.</w:t>
      </w:r>
    </w:p>
    <w:p>
      <w:pPr>
        <w:pStyle w:val="BodyText"/>
        <w:keepNext/>
      </w:pPr>
      <w:r>
        <w:drawing>
          <wp:inline>
            <wp:extent cx="6400800" cy="4907280"/>
            <wp:effectExtent b="0" l="0" r="0" t="0"/>
            <wp:docPr descr="Подключение поставщиков" title="" id="34" name="Picture"/>
            <a:graphic>
              <a:graphicData uri="http://schemas.openxmlformats.org/drawingml/2006/picture">
                <pic:pic>
                  <pic:nvPicPr>
                    <pic:cNvPr descr="screenshots/news-v2-providers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907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Платные источники не подключены автоматически. Доступ к API и право на полный текст задаются отдельно.</w:t>
      </w:r>
    </w:p>
    <w:p>
      <w:pPr>
        <w:pStyle w:val="BodyText"/>
        <w:keepNext/>
      </w:pPr>
      <w:r>
        <w:drawing>
          <wp:inline>
            <wp:extent cx="6400800" cy="4907280"/>
            <wp:effectExtent b="0" l="0" r="0" t="0"/>
            <wp:docPr descr="Архив новостей портфеля после проверки соответствий" title="" id="37" name="Picture"/>
            <a:graphic>
              <a:graphicData uri="http://schemas.openxmlformats.org/drawingml/2006/picture">
                <pic:pic>
                  <pic:nvPicPr>
                    <pic:cNvPr descr="screenshots/news-v2-portfolio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907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Сопоставлены три позиции; показаны 18 реальных архивных материалов. Самая свежая публикация датирована 31 августа. Интерфейс явно показывает возраст данных и режим архива.</w:t>
      </w:r>
    </w:p>
    <w:bookmarkEnd w:id="39"/>
    <w:bookmarkStart w:id="40" w:name="проверка-и-запуск"/>
    <w:p>
      <w:pPr>
        <w:pStyle w:val="Heading2"/>
      </w:pPr>
      <w:r>
        <w:t xml:space="preserve">Проверка и запуск</w:t>
      </w:r>
    </w:p>
    <w:p>
      <w:pPr>
        <w:pStyle w:val="FirstParagraph"/>
      </w:pPr>
      <w:r>
        <w:t xml:space="preserve">Отдельный сервис V2 работает на localhost:8081, исходный — на 8080. В MVP настроены серверный адрес V2 и общий токен; ключ шифрования остаётся только в сервисе. Миграция добавляет таблицы, сохраняя V1. Платные API не подключены и не оплачены автоматически. Снимки реального интерфейса и результаты проверки сохранены рядом с английским отчётом; тестовые фикстуры не выдаются за реальные новости.</w:t>
      </w:r>
    </w:p>
    <w:p>
      <w:pPr>
        <w:pStyle w:val="BodyText"/>
      </w:pPr>
      <w:r>
        <w:t xml:space="preserve">Получено</w:t>
      </w:r>
      <w:r>
        <w:t xml:space="preserve"> </w:t>
      </w:r>
      <w:r>
        <w:rPr>
          <w:b/>
          <w:bCs/>
        </w:rPr>
        <w:t xml:space="preserve">20 релизов Fed и 6 ECB</w:t>
      </w:r>
      <w:r>
        <w:t xml:space="preserve">, SEC — ноль из-за HTTP 403. Новых V2-новостей компаний пока нет; доступные бесплатные материалы относятся к макроэкономике и регулированию. Архив V1 выбирается отдельно. Пройдены 127 тестов сервиса, 6 проверок PostgreSQL с откатом, 19 регрессионных тестов Polymarket, 14 локальных API-проверок, сборки и браузерные проверки. Платные каналы без пользовательских API-реквизитов проверены только на тестовых ответах.</w:t>
      </w:r>
    </w:p>
    <w:bookmarkEnd w:id="40"/>
    <w:bookmarkStart w:id="54" w:name="источники"/>
    <w:p>
      <w:pPr>
        <w:pStyle w:val="Heading2"/>
        <w:pageBreakBefore/>
      </w:pPr>
      <w:r>
        <w:t xml:space="preserve">Источники</w:t>
      </w:r>
    </w:p>
    <w:p>
      <w:pPr>
        <w:pStyle w:val="Compact"/>
        <w:numPr>
          <w:ilvl w:val="0"/>
          <w:numId w:val="1001"/>
        </w:numPr>
      </w:pPr>
      <w:hyperlink r:id="rId41">
        <w:r>
          <w:rPr>
            <w:rStyle w:val="Hyperlink"/>
          </w:rPr>
          <w:t xml:space="preserve">Federal Reserve: условия использования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42">
        <w:r>
          <w:rPr>
            <w:rStyle w:val="Hyperlink"/>
          </w:rPr>
          <w:t xml:space="preserve">ECB: copyright и условия повторного использования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43">
        <w:r>
          <w:rPr>
            <w:rStyle w:val="Hyperlink"/>
          </w:rPr>
          <w:t xml:space="preserve">SEC: EDGAR API</w:t>
        </w:r>
      </w:hyperlink>
      <w:r>
        <w:t xml:space="preserve">;</w:t>
      </w:r>
      <w:r>
        <w:t xml:space="preserve"> </w:t>
      </w:r>
      <w:hyperlink r:id="rId44">
        <w:r>
          <w:rPr>
            <w:rStyle w:val="Hyperlink"/>
          </w:rPr>
          <w:t xml:space="preserve">публичные материалы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45">
        <w:r>
          <w:rPr>
            <w:rStyle w:val="Hyperlink"/>
          </w:rPr>
          <w:t xml:space="preserve">Benzinga: официальная документация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46">
        <w:r>
          <w:rPr>
            <w:rStyle w:val="Hyperlink"/>
          </w:rPr>
          <w:t xml:space="preserve">Marketaux: FAQ</w:t>
        </w:r>
      </w:hyperlink>
      <w:r>
        <w:t xml:space="preserve">,</w:t>
      </w:r>
      <w:r>
        <w:t xml:space="preserve"> </w:t>
      </w:r>
      <w:hyperlink r:id="rId47">
        <w:r>
          <w:rPr>
            <w:rStyle w:val="Hyperlink"/>
          </w:rPr>
          <w:t xml:space="preserve">тарифы</w:t>
        </w:r>
      </w:hyperlink>
      <w:r>
        <w:t xml:space="preserve">,</w:t>
      </w:r>
      <w:r>
        <w:t xml:space="preserve"> </w:t>
      </w:r>
      <w:hyperlink r:id="rId48">
        <w:r>
          <w:rPr>
            <w:rStyle w:val="Hyperlink"/>
          </w:rPr>
          <w:t xml:space="preserve">условия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49">
        <w:r>
          <w:rPr>
            <w:rStyle w:val="Hyperlink"/>
          </w:rPr>
          <w:t xml:space="preserve">Finnhub: бизнес-использование и распространение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50">
        <w:r>
          <w:rPr>
            <w:rStyle w:val="Hyperlink"/>
          </w:rPr>
          <w:t xml:space="preserve">LSEG: News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51">
        <w:r>
          <w:rPr>
            <w:rStyle w:val="Hyperlink"/>
          </w:rPr>
          <w:t xml:space="preserve">Dow Jones: официальный Factiva SDK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52">
        <w:r>
          <w:rPr>
            <w:rStyle w:val="Hyperlink"/>
          </w:rPr>
          <w:t xml:space="preserve">ASML: официальные листинги акций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53">
        <w:r>
          <w:rPr>
            <w:rStyle w:val="Hyperlink"/>
          </w:rPr>
          <w:t xml:space="preserve">Alphabet: Class A/GOOGL в отчётности за II квартал 2026</w:t>
        </w:r>
      </w:hyperlink>
      <w:r>
        <w:t xml:space="preserve">.</w:t>
      </w:r>
    </w:p>
    <w:bookmarkEnd w:id="54"/>
    <w:bookmarkEnd w:id="55"/>
    <w:sectPr w:rsidR="00FC693F" w:rsidRPr="0006063C" w:rsidSect="00034616">
      <w:footerReference r:id="rId9" w:type="default"/>
      <w:pgSz w:h="16838" w:w="11906"/>
      <w:pgMar w:bottom="907" w:footer="720" w:gutter="0" w:header="720" w:left="907" w:right="907" w:top="90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Polymarket data inventory • </w:t>
    </w: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00"/>
    </w:pPr>
    <w:rPr>
      <w:rFonts w:ascii="Arial" w:hAnsi="Arial"/>
      <w:sz w:val="20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val="13263D"/>
      <w:sz w:val="3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val="13263D"/>
      <w:sz w:val="2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val="13263D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300" w:line="240" w:lineRule="auto"/>
      <w:contextualSpacing/>
    </w:pPr>
    <w:rPr>
      <w:rFonts w:ascii="Arial" w:asciiTheme="majorHAnsi" w:cstheme="majorBidi" w:eastAsiaTheme="majorEastAsia" w:hAnsi="Arial" w:hAnsiTheme="majorHAnsi"/>
      <w:color w:val="13263D"/>
      <w:spacing w:val="5"/>
      <w:kern w:val="28"/>
      <w:sz w:val="40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00"/>
    </w:pPr>
    <w:rPr>
      <w:rFonts w:ascii="Arial" w:hAnsi="Arial"/>
      <w:sz w:val="20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7" Type="http://schemas.openxmlformats.org/officeDocument/2006/relationships/numbering" Target="numbering.xml"/><Relationship Id="rId16" Type="http://schemas.openxmlformats.org/officeDocument/2006/relationships/styles" Target="styles.xml"/><Relationship Id="rId15" Type="http://schemas.openxmlformats.org/officeDocument/2006/relationships/settings" Target="settings.xml"/><Relationship Id="rId14" Type="http://schemas.openxmlformats.org/officeDocument/2006/relationships/webSettings" Target="webSettings.xml"/><Relationship Id="rId13" Type="http://schemas.openxmlformats.org/officeDocument/2006/relationships/fontTable" Target="fontTable.xml"/><Relationship Id="rId12" Type="http://schemas.openxmlformats.org/officeDocument/2006/relationships/theme" Target="theme/theme1.xml"/><Relationship Id="rId11" Type="http://schemas.openxmlformats.org/officeDocument/2006/relationships/footnotes" Target="footnotes.xml"/><Relationship Id="rId10" Type="http://schemas.openxmlformats.org/officeDocument/2006/relationships/comments" Target="comments.xml"/><Relationship Id="rId9" Type="http://schemas.openxmlformats.org/officeDocument/2006/relationships/footer" Target="footer1.xml"/><Relationship Id="rId27" Type="http://schemas.openxmlformats.org/officeDocument/2006/relationships/image" Target="media/rId27.png"/><Relationship Id="rId36" Type="http://schemas.openxmlformats.org/officeDocument/2006/relationships/image" Target="media/rId36.png"/><Relationship Id="rId33" Type="http://schemas.openxmlformats.org/officeDocument/2006/relationships/image" Target="media/rId33.png"/><Relationship Id="rId30" Type="http://schemas.openxmlformats.org/officeDocument/2006/relationships/image" Target="media/rId30.png"/><Relationship Id="rId18" Type="http://schemas.openxmlformats.org/officeDocument/2006/relationships/hyperlink" Target="NEWS-ARCHITECTURE-V2.md" TargetMode="External"/><Relationship Id="rId50" Type="http://schemas.openxmlformats.org/officeDocument/2006/relationships/hyperlink" Target="https://developers.lseg.com/en/product/news/overview" TargetMode="External"/><Relationship Id="rId45" Type="http://schemas.openxmlformats.org/officeDocument/2006/relationships/hyperlink" Target="https://docs.benzinga.com/introduction/faq" TargetMode="External"/><Relationship Id="rId49" Type="http://schemas.openxmlformats.org/officeDocument/2006/relationships/hyperlink" Target="https://finnhub.io/terms-of-service" TargetMode="External"/><Relationship Id="rId51" Type="http://schemas.openxmlformats.org/officeDocument/2006/relationships/hyperlink" Target="https://github.com/dowjones/factiva-analytics-python" TargetMode="External"/><Relationship Id="rId52" Type="http://schemas.openxmlformats.org/officeDocument/2006/relationships/hyperlink" Target="https://www.asml.com/en/investors/shares" TargetMode="External"/><Relationship Id="rId42" Type="http://schemas.openxmlformats.org/officeDocument/2006/relationships/hyperlink" Target="https://www.ecb.europa.eu/services/using-our-site/disclaimer/html/index.en.html" TargetMode="External"/><Relationship Id="rId41" Type="http://schemas.openxmlformats.org/officeDocument/2006/relationships/hyperlink" Target="https://www.federalreserve.gov/disclaimer.htm" TargetMode="External"/><Relationship Id="rId46" Type="http://schemas.openxmlformats.org/officeDocument/2006/relationships/hyperlink" Target="https://www.marketaux.com/faq" TargetMode="External"/><Relationship Id="rId47" Type="http://schemas.openxmlformats.org/officeDocument/2006/relationships/hyperlink" Target="https://www.marketaux.com/pricing" TargetMode="External"/><Relationship Id="rId48" Type="http://schemas.openxmlformats.org/officeDocument/2006/relationships/hyperlink" Target="https://www.marketaux.com/tos" TargetMode="External"/><Relationship Id="rId53" Type="http://schemas.openxmlformats.org/officeDocument/2006/relationships/hyperlink" Target="https://www.sec.gov/Archives/edgar/data/1652044/000165204426000071/R1.htm" TargetMode="External"/><Relationship Id="rId44" Type="http://schemas.openxmlformats.org/officeDocument/2006/relationships/hyperlink" Target="https://www.sec.gov/about/webmaster-frequently-asked-questions" TargetMode="External"/><Relationship Id="rId43" Type="http://schemas.openxmlformats.org/officeDocument/2006/relationships/hyperlink" Target="https://www.sec.gov/search-filings/edgar-application-programming-interfaces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NEWS-ARCHITECTURE-V2.md" TargetMode="External"/><Relationship Id="rId50" Type="http://schemas.openxmlformats.org/officeDocument/2006/relationships/hyperlink" Target="https://developers.lseg.com/en/product/news/overview" TargetMode="External"/><Relationship Id="rId45" Type="http://schemas.openxmlformats.org/officeDocument/2006/relationships/hyperlink" Target="https://docs.benzinga.com/introduction/faq" TargetMode="External"/><Relationship Id="rId49" Type="http://schemas.openxmlformats.org/officeDocument/2006/relationships/hyperlink" Target="https://finnhub.io/terms-of-service" TargetMode="External"/><Relationship Id="rId51" Type="http://schemas.openxmlformats.org/officeDocument/2006/relationships/hyperlink" Target="https://github.com/dowjones/factiva-analytics-python" TargetMode="External"/><Relationship Id="rId52" Type="http://schemas.openxmlformats.org/officeDocument/2006/relationships/hyperlink" Target="https://www.asml.com/en/investors/shares" TargetMode="External"/><Relationship Id="rId42" Type="http://schemas.openxmlformats.org/officeDocument/2006/relationships/hyperlink" Target="https://www.ecb.europa.eu/services/using-our-site/disclaimer/html/index.en.html" TargetMode="External"/><Relationship Id="rId41" Type="http://schemas.openxmlformats.org/officeDocument/2006/relationships/hyperlink" Target="https://www.federalreserve.gov/disclaimer.htm" TargetMode="External"/><Relationship Id="rId46" Type="http://schemas.openxmlformats.org/officeDocument/2006/relationships/hyperlink" Target="https://www.marketaux.com/faq" TargetMode="External"/><Relationship Id="rId47" Type="http://schemas.openxmlformats.org/officeDocument/2006/relationships/hyperlink" Target="https://www.marketaux.com/pricing" TargetMode="External"/><Relationship Id="rId48" Type="http://schemas.openxmlformats.org/officeDocument/2006/relationships/hyperlink" Target="https://www.marketaux.com/tos" TargetMode="External"/><Relationship Id="rId53" Type="http://schemas.openxmlformats.org/officeDocument/2006/relationships/hyperlink" Target="https://www.sec.gov/Archives/edgar/data/1652044/000165204426000071/R1.htm" TargetMode="External"/><Relationship Id="rId44" Type="http://schemas.openxmlformats.org/officeDocument/2006/relationships/hyperlink" Target="https://www.sec.gov/about/webmaster-frequently-asked-questions" TargetMode="External"/><Relationship Id="rId43" Type="http://schemas.openxmlformats.org/officeDocument/2006/relationships/hyperlink" Target="https://www.sec.gov/search-filings/edgar-application-programming-interfac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2026-09-09T04:11:08Z</dcterms:created>
  <dcterms:modified xsi:type="dcterms:W3CDTF">2026-09-09T04:11:08Z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