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f82aeb446601950b71bde6ddb8d6eb6d80d7035"/>
    <w:p>
      <w:pPr>
        <w:pStyle w:val="Heading1"/>
      </w:pPr>
      <w:r>
        <w:t xml:space="preserve">Polymarket US — data inventory and actual examples</w:t>
      </w:r>
    </w:p>
    <w:p>
      <w:pPr>
        <w:pStyle w:val="FirstParagraph"/>
      </w:pPr>
      <w:r>
        <w:rPr>
          <w:b/>
          <w:bCs/>
        </w:rPr>
        <w:t xml:space="preserve">Updated 9 September 2026; saved API observations are from 8 September.</w:t>
      </w:r>
      <w:r>
        <w:t xml:space="preserve"> </w:t>
      </w:r>
      <w:r>
        <w:t xml:space="preserve">API and capture timestamps are UTC. Website</w:t>
      </w:r>
      <w:r>
        <w:t xml:space="preserve"> </w:t>
      </w:r>
      <w:r>
        <w:t xml:space="preserve">screenshots preserve the site's displayed labels. We retrieved structured</w:t>
      </w:r>
      <w:r>
        <w:t xml:space="preserve"> </w:t>
      </w:r>
      <w:r>
        <w:t xml:space="preserve">public data directly from Polymarket US without a login, cookies, API key or VPN.</w:t>
      </w:r>
      <w:r>
        <w:t xml:space="preserve"> </w:t>
      </w:r>
      <w:r>
        <w:t xml:space="preserve">The examples establish that an internal market-context panel is technically</w:t>
      </w:r>
      <w:r>
        <w:t xml:space="preserve"> </w:t>
      </w:r>
      <w:r>
        <w:t xml:space="preserve">possible. They do not establish company usage rights, complete market coverage</w:t>
      </w:r>
      <w:r>
        <w:t xml:space="preserve"> </w:t>
      </w:r>
      <w:r>
        <w:t xml:space="preserve">or production reliability. This report and its evidence remain local; they have</w:t>
      </w:r>
      <w:r>
        <w:t xml:space="preserve"> </w:t>
      </w:r>
      <w:r>
        <w:t xml:space="preserve">not been published to GitHub. A local interactive MVP is implemented and tested;</w:t>
      </w:r>
      <w:r>
        <w:t xml:space="preserve"> </w:t>
      </w:r>
      <w:r>
        <w:t xml:space="preserve">its 9 September browser captures and validation are recorded separately below.</w:t>
      </w:r>
    </w:p>
    <w:p>
      <w:pPr>
        <w:pStyle w:val="BodyText"/>
      </w:pPr>
      <w:r>
        <w:t xml:space="preserve">The companion</w:t>
      </w:r>
      <w:r>
        <w:t xml:space="preserve"> </w:t>
      </w:r>
      <w:r>
        <w:rPr>
          <w:rStyle w:val="VerbatimChar"/>
          <w:b/>
          <w:bCs/>
        </w:rPr>
        <w:t xml:space="preserve">Polymarket-Data-Inventory.xlsx</w:t>
      </w:r>
      <w:r>
        <w:t xml:space="preserve"> </w:t>
      </w:r>
      <w:r>
        <w:t xml:space="preserve">contains the detailed inventory</w:t>
      </w:r>
      <w:r>
        <w:t xml:space="preserve"> </w:t>
      </w:r>
      <w:r>
        <w:t xml:space="preserve">and example values. Original responses and the request manifest are in</w:t>
      </w:r>
      <w:r>
        <w:t xml:space="preserve"> </w:t>
      </w:r>
      <w:r>
        <w:rPr>
          <w:rStyle w:val="VerbatimChar"/>
        </w:rPr>
        <w:t xml:space="preserve">polymarket-evidence/2026-09-08/</w:t>
      </w:r>
      <w:r>
        <w:t xml:space="preserve">. Each manifest entry records its URL, HTTP status,</w:t>
      </w:r>
      <w:r>
        <w:t xml:space="preserve"> </w:t>
      </w:r>
      <w:r>
        <w:t xml:space="preserve">request/receipt times and SHA-256 hash. Main API samples were received at</w:t>
      </w:r>
      <w:r>
        <w:t xml:space="preserve"> </w:t>
      </w:r>
      <w:r>
        <w:t xml:space="preserve">19:02:54–19:02:56; the resolved-market settlement sample at 19:03:47. These are</w:t>
      </w:r>
      <w:r>
        <w:t xml:space="preserve"> </w:t>
      </w:r>
      <w:r>
        <w:t xml:space="preserve">observations at those times, not current trading recommendations.</w:t>
      </w:r>
      <w:r>
        <w:rPr>
          <w:rStyle w:val="FootnoteReference"/>
        </w:rPr>
        <w:footnoteReference w:id="18"/>
      </w:r>
    </w:p>
    <w:p>
      <w:pPr>
        <w:pStyle w:val="BodyText"/>
      </w:pPr>
      <w:r>
        <w:t xml:space="preserve">Workbook</w:t>
      </w:r>
      <w:r>
        <w:t xml:space="preserve"> </w:t>
      </w:r>
      <w:r>
        <w:rPr>
          <w:rStyle w:val="VerbatimChar"/>
        </w:rPr>
        <w:t xml:space="preserve">AllObservedFields</w:t>
      </w:r>
      <w:r>
        <w:t xml:space="preserve"> </w:t>
      </w:r>
      <w:r>
        <w:t xml:space="preserve">catalogues every terminal field observed in all</w:t>
      </w:r>
      <w:r>
        <w:t xml:space="preserve"> </w:t>
      </w:r>
      <w:r>
        <w:t xml:space="preserve">13 saved responses, with array positions grouped as</w:t>
      </w:r>
      <w:r>
        <w:t xml:space="preserve"> </w:t>
      </w:r>
      <w:r>
        <w:rPr>
          <w:rStyle w:val="VerbatimChar"/>
        </w:rPr>
        <w:t xml:space="preserve">[]</w:t>
      </w:r>
      <w:r>
        <w:t xml:space="preserve">, observed types,</w:t>
      </w:r>
      <w:r>
        <w:t xml:space="preserve"> </w:t>
      </w:r>
      <w:r>
        <w:t xml:space="preserve">occurrence counts and up to three actual example values.</w:t>
      </w:r>
      <w:r>
        <w:t xml:space="preserve"> </w:t>
      </w:r>
      <w:r>
        <w:rPr>
          <w:rStyle w:val="VerbatimChar"/>
        </w:rPr>
        <w:t xml:space="preserve">FieldExamples</w:t>
      </w:r>
      <w:r>
        <w:t xml:space="preserve"> </w:t>
      </w:r>
      <w:r>
        <w:t xml:space="preserve">adds explanations for selected fields. This is a complete catalogue of those</w:t>
      </w:r>
      <w:r>
        <w:t xml:space="preserve"> </w:t>
      </w:r>
      <w:r>
        <w:t xml:space="preserve">observed responses; documented optional fields and the wider exchange catalogue</w:t>
      </w:r>
      <w:r>
        <w:t xml:space="preserve"> </w:t>
      </w:r>
      <w:r>
        <w:t xml:space="preserve">can exceed the sample. The newer chart has separate</w:t>
      </w:r>
      <w:r>
        <w:t xml:space="preserve"> </w:t>
      </w:r>
      <w:r>
        <w:rPr>
          <w:rStyle w:val="VerbatimChar"/>
        </w:rPr>
        <w:t xml:space="preserve">MVPHistory</w:t>
      </w:r>
      <w:r>
        <w:t xml:space="preserve"> </w:t>
      </w:r>
      <w:r>
        <w:t xml:space="preserve">provenance.</w:t>
      </w:r>
    </w:p>
    <w:bookmarkStart w:id="25" w:name="X2a92b01bce68c51cc2fce312deb12ef9113b009"/>
    <w:p>
      <w:pPr>
        <w:pStyle w:val="Heading2"/>
      </w:pPr>
      <w:r>
        <w:t xml:space="preserve">1. What is available without an account</w:t>
      </w:r>
    </w:p>
    <w:p>
      <w:pPr>
        <w:pStyle w:val="FirstParagraph"/>
      </w:pPr>
      <w:r>
        <w:t xml:space="preserve">The public base is</w:t>
      </w:r>
      <w:r>
        <w:t xml:space="preserve"> </w:t>
      </w:r>
      <w:r>
        <w:rPr>
          <w:rStyle w:val="VerbatimChar"/>
          <w:b/>
          <w:bCs/>
        </w:rPr>
        <w:t xml:space="preserve">https://gateway.polymarket.us</w:t>
      </w:r>
      <w:r>
        <w:t xml:space="preserve">. We checked 13 requests:</w:t>
      </w:r>
      <w:r>
        <w:t xml:space="preserve"> </w:t>
      </w:r>
      <w:r>
        <w:t xml:space="preserve">12 returned HTTP 200; the open market's settlement request returned HTTP 404.</w:t>
      </w:r>
      <w:r>
        <w:t xml:space="preserve"> </w:t>
      </w:r>
      <w:r>
        <w:t xml:space="preserve">The official documentation describes this API as sufficient for applications</w:t>
      </w:r>
      <w:r>
        <w:t xml:space="preserve"> </w:t>
      </w:r>
      <w:r>
        <w:t xml:space="preserve">displaying market information.</w:t>
      </w:r>
      <w:r>
        <w:t xml:space="preserve"> </w:t>
      </w:r>
      <w:r>
        <w:rPr>
          <w:rStyle w:val="FootnoteReference"/>
        </w:rPr>
        <w:footnoteReference w:id="20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Actual response inspected</w:t>
            </w:r>
          </w:p>
        </w:tc>
        <w:tc>
          <w:tcPr/>
          <w:p>
            <w:pPr>
              <w:pStyle w:val="Compact"/>
            </w:pPr>
            <w:r>
              <w:t xml:space="preserve">Application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and event</w:t>
            </w:r>
          </w:p>
        </w:tc>
        <w:tc>
          <w:tcPr/>
          <w:p>
            <w:pPr>
              <w:pStyle w:val="Compact"/>
            </w:pPr>
            <w:r>
              <w:t xml:space="preserve">One Fed event, containing five contracts</w:t>
            </w:r>
          </w:p>
        </w:tc>
        <w:tc>
          <w:tcPr/>
          <w:p>
            <w:pPr>
              <w:pStyle w:val="Compact"/>
            </w:pPr>
            <w:r>
              <w:t xml:space="preserve">Find relevant topics and group related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definition</w:t>
            </w:r>
          </w:p>
        </w:tc>
        <w:tc>
          <w:tcPr/>
          <w:p>
            <w:pPr>
              <w:pStyle w:val="Compact"/>
            </w:pPr>
            <w:r>
              <w:t xml:space="preserve">IDs, question, rules, dates, status, side identities and quotes</w:t>
            </w:r>
          </w:p>
        </w:tc>
        <w:tc>
          <w:tcPr/>
          <w:p>
            <w:pPr>
              <w:pStyle w:val="Compact"/>
            </w:pPr>
            <w:r>
              <w:t xml:space="preserve">Explain exactly what a displayed number refers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and market images</w:t>
            </w:r>
          </w:p>
        </w:tc>
        <w:tc>
          <w:tcPr/>
          <w:p>
            <w:pPr>
              <w:pStyle w:val="Compact"/>
            </w:pPr>
            <w:r>
              <w:t xml:space="preserve">Image URLs, including a Fed-event portrait and a sports-team logo</w:t>
            </w:r>
          </w:p>
        </w:tc>
        <w:tc>
          <w:tcPr/>
          <w:p>
            <w:pPr>
              <w:pStyle w:val="Compact"/>
            </w:pPr>
            <w:r>
              <w:t xml:space="preserve">Event artwork; separate from article images or an image-reuse licence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bid/offer (BBO)</w:t>
            </w:r>
          </w:p>
        </w:tc>
        <w:tc>
          <w:tcPr/>
          <w:p>
            <w:pPr>
              <w:pStyle w:val="Compact"/>
            </w:pPr>
            <w:r>
              <w:t xml:space="preserve">Bid, ask, last price, depth counts and statistics</w:t>
            </w:r>
          </w:p>
        </w:tc>
        <w:tc>
          <w:tcPr/>
          <w:p>
            <w:pPr>
              <w:pStyle w:val="Compact"/>
            </w:pPr>
            <w:r>
              <w:t xml:space="preserve">Compact quote card and 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book</w:t>
            </w:r>
          </w:p>
        </w:tc>
        <w:tc>
          <w:tcPr/>
          <w:p>
            <w:pPr>
              <w:pStyle w:val="Compact"/>
            </w:pPr>
            <w:r>
              <w:t xml:space="preserve">13 bid levels and six offer levels</w:t>
            </w:r>
          </w:p>
        </w:tc>
        <w:tc>
          <w:tcPr/>
          <w:p>
            <w:pPr>
              <w:pStyle w:val="Compact"/>
            </w:pPr>
            <w:r>
              <w:t xml:space="preserve">Depth and liquidity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history</w:t>
            </w:r>
          </w:p>
        </w:tc>
        <w:tc>
          <w:tcPr/>
          <w:p>
            <w:pPr>
              <w:pStyle w:val="Compact"/>
            </w:pPr>
            <w:r>
              <w:t xml:space="preserve">249 daily-window and 57 weekly-window samples</w:t>
            </w:r>
          </w:p>
        </w:tc>
        <w:tc>
          <w:tcPr/>
          <w:p>
            <w:pPr>
              <w:pStyle w:val="Compact"/>
            </w:pPr>
            <w:r>
              <w:t xml:space="preserve">Historical display-price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Open-market 404; resolved-market value 1</w:t>
            </w:r>
          </w:p>
        </w:tc>
        <w:tc>
          <w:tcPr/>
          <w:p>
            <w:pPr>
              <w:pStyle w:val="Compact"/>
            </w:pPr>
            <w:r>
              <w:t xml:space="preserve">Distinguish unresolved contracts from final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Two series, two leagues and five tags</w:t>
            </w:r>
          </w:p>
        </w:tc>
        <w:tc>
          <w:tcPr/>
          <w:p>
            <w:pPr>
              <w:pStyle w:val="Compact"/>
            </w:pPr>
            <w:r>
              <w:t xml:space="preserve">Navigation and classification</w:t>
            </w:r>
          </w:p>
        </w:tc>
      </w:tr>
    </w:tbl>
    <w:p>
      <w:pPr>
        <w:pStyle w:val="BodyText"/>
      </w:pPr>
      <w:r>
        <w:t xml:space="preserve">The reference counts are the requested sample sizes, not catalogue totals.</w:t>
      </w:r>
      <w:r>
        <w:t xml:space="preserve"> </w:t>
      </w:r>
      <w:r>
        <w:t xml:space="preserve">No ongoing collector was started for that evidence capture. The local MVP's</w:t>
      </w:r>
      <w:r>
        <w:t xml:space="preserve"> </w:t>
      </w:r>
      <w:r>
        <w:t xml:space="preserve">interactive refresh behaviour is described in section 9.</w:t>
      </w:r>
    </w:p>
    <w:p>
      <w:pPr>
        <w:pStyle w:val="BodyText"/>
        <w:keepNext/>
      </w:pPr>
      <w:r>
        <w:drawing>
          <wp:inline>
            <wp:extent cx="6400800" cy="2693019"/>
            <wp:effectExtent b="0" l="0" r="0" t="0"/>
            <wp:docPr descr="Official Polymarket US public API documentation in a browser" title="" id="23" name="Picture"/>
            <a:graphic>
              <a:graphicData uri="http://schemas.openxmlformats.org/drawingml/2006/picture">
                <pic:pic>
                  <pic:nvPicPr>
                    <pic:cNvPr descr="screenshots/polymarket-us-public-api-doc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93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Actual browser screenshot of the official documentation, captured at</w:t>
      </w:r>
      <w:r>
        <w:rPr>
          <w:i/>
          <w:iCs/>
        </w:rPr>
        <w:t xml:space="preserve"> </w:t>
      </w:r>
      <w:r>
        <w:rPr>
          <w:i/>
          <w:iCs/>
        </w:rPr>
        <w:t xml:space="preserve">2026-09-08 19:11:16.306 UTC. This is documentation evidence, not an API response.</w:t>
      </w:r>
    </w:p>
    <w:bookmarkEnd w:id="25"/>
    <w:bookmarkStart w:id="31" w:name="Xc5f5a363cd6bdd41750cc91942e85d3ca61fe0e"/>
    <w:p>
      <w:pPr>
        <w:pStyle w:val="Heading2"/>
      </w:pPr>
      <w:r>
        <w:t xml:space="preserve">2. A real macro example: September Fed decision</w:t>
      </w:r>
    </w:p>
    <w:p>
      <w:pPr>
        <w:pStyle w:val="FirstParagraph"/>
      </w:pPr>
      <w:r>
        <w:t xml:space="preserve">Search</w:t>
      </w:r>
      <w:r>
        <w:t xml:space="preserve"> </w:t>
      </w:r>
      <w:r>
        <w:rPr>
          <w:rStyle w:val="VerbatimChar"/>
        </w:rPr>
        <w:t xml:space="preserve">GET /v1/search?query=Fed&amp;limit=1</w:t>
      </w:r>
      <w:r>
        <w:t xml:space="preserve"> </w:t>
      </w:r>
      <w:r>
        <w:t xml:space="preserve">returned event</w:t>
      </w:r>
      <w:r>
        <w:t xml:space="preserve"> </w:t>
      </w:r>
      <w:r>
        <w:rPr>
          <w:b/>
          <w:bCs/>
        </w:rPr>
        <w:t xml:space="preserve">65124</w:t>
      </w:r>
      <w:r>
        <w:t xml:space="preserve">, slug</w:t>
      </w:r>
      <w:r>
        <w:t xml:space="preserve"> </w:t>
      </w:r>
      <w:r>
        <w:rPr>
          <w:rStyle w:val="VerbatimChar"/>
        </w:rPr>
        <w:t xml:space="preserve">usfed-fomc-2026-09-16</w:t>
      </w:r>
      <w:r>
        <w:t xml:space="preserve">. The event-detail response contained five contracts, all</w:t>
      </w:r>
      <w:r>
        <w:t xml:space="preserve"> </w:t>
      </w:r>
      <w:r>
        <w:t xml:space="preserve">active and open. The event category was</w:t>
      </w:r>
      <w:r>
        <w:t xml:space="preserve"> </w:t>
      </w:r>
      <w:r>
        <w:rPr>
          <w:rStyle w:val="VerbatimChar"/>
        </w:rPr>
        <w:t xml:space="preserve">macro</w:t>
      </w:r>
      <w:r>
        <w:t xml:space="preserve">; its tags included</w:t>
      </w:r>
      <w:r>
        <w:t xml:space="preserve"> </w:t>
      </w:r>
      <w:r>
        <w:rPr>
          <w:rStyle w:val="VerbatimChar"/>
        </w:rPr>
        <w:t xml:space="preserve">Econ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Fed</w:t>
      </w:r>
      <w:r>
        <w:t xml:space="preserve">. The following quotes come from</w:t>
      </w:r>
      <w:r>
        <w:t xml:space="preserve"> </w:t>
      </w:r>
      <w:r>
        <w:rPr>
          <w:b/>
          <w:bCs/>
        </w:rPr>
        <w:t xml:space="preserve">one saved event response</w:t>
      </w:r>
      <w:r>
        <w:t xml:space="preserve">,</w:t>
      </w:r>
      <w:r>
        <w:t xml:space="preserve"> </w:t>
      </w:r>
      <w:r>
        <w:t xml:space="preserve">received at 19:02:54.365 UTC.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title</w:t>
            </w:r>
          </w:p>
        </w:tc>
        <w:tc>
          <w:tcPr/>
          <w:p>
            <w:pPr>
              <w:pStyle w:val="Compact"/>
            </w:pPr>
            <w:r>
              <w:t xml:space="preserve">Market ID</w:t>
            </w:r>
          </w:p>
        </w:tc>
        <w:tc>
          <w:tcPr/>
          <w:p>
            <w:pPr>
              <w:pStyle w:val="Compact"/>
            </w:pPr>
            <w:r>
              <w:t xml:space="preserve">Best bid, USD</w:t>
            </w:r>
          </w:p>
        </w:tc>
        <w:tc>
          <w:tcPr/>
          <w:p>
            <w:pPr>
              <w:pStyle w:val="Compact"/>
            </w:pPr>
            <w:r>
              <w:t xml:space="preserve">Best ask, 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50+ bps Increase</w:t>
            </w:r>
          </w:p>
        </w:tc>
        <w:tc>
          <w:tcPr/>
          <w:p>
            <w:pPr>
              <w:pStyle w:val="Compact"/>
            </w:pPr>
            <w:r>
              <w:t xml:space="preserve">313136</w:t>
            </w:r>
          </w:p>
        </w:tc>
        <w:tc>
          <w:tcPr/>
          <w:p>
            <w:pPr>
              <w:pStyle w:val="Compact"/>
            </w:pPr>
            <w:r>
              <w:t xml:space="preserve">0.0100</w:t>
            </w:r>
          </w:p>
        </w:tc>
        <w:tc>
          <w:tcPr/>
          <w:p>
            <w:pPr>
              <w:pStyle w:val="Compac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bps Increase</w:t>
            </w:r>
          </w:p>
        </w:tc>
        <w:tc>
          <w:tcPr/>
          <w:p>
            <w:pPr>
              <w:pStyle w:val="Compact"/>
            </w:pPr>
            <w:r>
              <w:t xml:space="preserve">313137</w:t>
            </w:r>
          </w:p>
        </w:tc>
        <w:tc>
          <w:tcPr/>
          <w:p>
            <w:pPr>
              <w:pStyle w:val="Compact"/>
            </w:pPr>
            <w:r>
              <w:t xml:space="preserve">0.5100</w:t>
            </w:r>
          </w:p>
        </w:tc>
        <w:tc>
          <w:tcPr/>
          <w:p>
            <w:pPr>
              <w:pStyle w:val="Compac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t xml:space="preserve">313138</w:t>
            </w:r>
          </w:p>
        </w:tc>
        <w:tc>
          <w:tcPr/>
          <w:p>
            <w:pPr>
              <w:pStyle w:val="Compact"/>
            </w:pPr>
            <w:r>
              <w:t xml:space="preserve">0.4700</w:t>
            </w:r>
          </w:p>
        </w:tc>
        <w:tc>
          <w:tcPr/>
          <w:p>
            <w:pPr>
              <w:pStyle w:val="Compact"/>
            </w:pPr>
            <w:r>
              <w:t xml:space="preserve">0.4800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bps Decrease</w:t>
            </w:r>
          </w:p>
        </w:tc>
        <w:tc>
          <w:tcPr/>
          <w:p>
            <w:pPr>
              <w:pStyle w:val="Compact"/>
            </w:pPr>
            <w:r>
              <w:t xml:space="preserve">313139</w:t>
            </w:r>
          </w:p>
        </w:tc>
        <w:tc>
          <w:tcPr/>
          <w:p>
            <w:pPr>
              <w:pStyle w:val="Compact"/>
            </w:pPr>
            <w:r>
              <w:t xml:space="preserve">Not supplied</w:t>
            </w:r>
          </w:p>
        </w:tc>
        <w:tc>
          <w:tcPr/>
          <w:p>
            <w:pPr>
              <w:pStyle w:val="Compact"/>
            </w:pPr>
            <w:r>
              <w:t xml:space="preserve">0.0100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50+ bps Decrease</w:t>
            </w:r>
          </w:p>
        </w:tc>
        <w:tc>
          <w:tcPr/>
          <w:p>
            <w:pPr>
              <w:pStyle w:val="Compact"/>
            </w:pPr>
            <w:r>
              <w:t xml:space="preserve">313140</w:t>
            </w:r>
          </w:p>
        </w:tc>
        <w:tc>
          <w:tcPr/>
          <w:p>
            <w:pPr>
              <w:pStyle w:val="Compact"/>
            </w:pPr>
            <w:r>
              <w:t xml:space="preserve">Not supplied</w:t>
            </w:r>
          </w:p>
        </w:tc>
        <w:tc>
          <w:tcPr/>
          <w:p>
            <w:pPr>
              <w:pStyle w:val="Compact"/>
            </w:pPr>
            <w:r>
              <w:t xml:space="preserve">0.0100</w:t>
            </w:r>
          </w:p>
        </w:tc>
      </w:tr>
    </w:tbl>
    <w:p>
      <w:pPr>
        <w:pStyle w:val="BodyText"/>
      </w:pPr>
      <w:r>
        <w:t xml:space="preserve">Values are at</w:t>
      </w:r>
      <w:r>
        <w:t xml:space="preserve"> </w:t>
      </w:r>
      <w:r>
        <w:rPr>
          <w:rStyle w:val="VerbatimChar"/>
        </w:rPr>
        <w:t xml:space="preserve">event.markets[].bestBidQuote.value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event.markets[].bestAskQuote.value</w:t>
      </w:r>
      <w:r>
        <w:t xml:space="preserve">. A missing bid is not zero. These prices</w:t>
      </w:r>
      <w:r>
        <w:t xml:space="preserve"> </w:t>
      </w:r>
      <w:r>
        <w:t xml:space="preserve">must not be normalized into an invented probability distribution. Establish</w:t>
      </w:r>
      <w:r>
        <w:t xml:space="preserve"> </w:t>
      </w:r>
      <w:r>
        <w:t xml:space="preserve">outcome definitions and settlement rules before combining contracts.</w:t>
      </w:r>
    </w:p>
    <w:p>
      <w:pPr>
        <w:pStyle w:val="BodyText"/>
        <w:keepNext/>
      </w:pPr>
      <w:r>
        <w:drawing>
          <wp:inline>
            <wp:extent cx="6400800" cy="4889500"/>
            <wp:effectExtent b="0" l="0" r="0" t="0"/>
            <wp:docPr descr="Public September Fed event page" title="" id="27" name="Picture"/>
            <a:graphic>
              <a:graphicData uri="http://schemas.openxmlformats.org/drawingml/2006/picture">
                <pic:pic>
                  <pic:nvPicPr>
                    <pic:cNvPr descr="screenshots/polymarket-us-fed-eve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Actual Polymarket US website screenshot, captured at 2026-09-08 19:04:10.892 UTC.</w:t>
      </w:r>
      <w:r>
        <w:rPr>
          <w:i/>
          <w:iCs/>
        </w:rPr>
        <w:t xml:space="preserve"> </w:t>
      </w:r>
      <w:r>
        <w:rPr>
          <w:i/>
          <w:iCs/>
        </w:rPr>
        <w:t xml:space="preserve">It is a separate observation from the earlier API samples: website prices may</w:t>
      </w:r>
      <w:r>
        <w:rPr>
          <w:i/>
          <w:iCs/>
        </w:rPr>
        <w:t xml:space="preserve"> </w:t>
      </w:r>
      <w:r>
        <w:rPr>
          <w:i/>
          <w:iCs/>
        </w:rPr>
        <w:t xml:space="preserve">differ. Source:</w:t>
      </w:r>
      <w:r>
        <w:rPr>
          <w:i/>
          <w:iCs/>
        </w:rPr>
        <w:t xml:space="preserve"> </w:t>
      </w:r>
      <w:r>
        <w:rPr>
          <w:rStyle w:val="FootnoteReference"/>
        </w:rPr>
        <w:footnoteReference w:id="29"/>
      </w:r>
      <w:r>
        <w:rPr>
          <w:i/>
          <w:iCs/>
        </w:rPr>
        <w:t xml:space="preserve">.</w:t>
      </w:r>
    </w:p>
    <w:bookmarkEnd w:id="31"/>
    <w:bookmarkStart w:id="34" w:name="X6829f573128c3b6c31d4ce09d8715b7edd930b6"/>
    <w:p>
      <w:pPr>
        <w:pStyle w:val="Heading2"/>
      </w:pPr>
      <w:r>
        <w:t xml:space="preserve">3. Market definitions and field mapping</w:t>
      </w:r>
    </w:p>
    <w:p>
      <w:pPr>
        <w:pStyle w:val="FirstParagraph"/>
      </w:pPr>
      <w:r>
        <w:t xml:space="preserve">We inspected</w:t>
      </w:r>
      <w:r>
        <w:t xml:space="preserve"> </w:t>
      </w:r>
      <w:r>
        <w:rPr>
          <w:rStyle w:val="VerbatimChar"/>
        </w:rPr>
        <w:t xml:space="preserve">GET /v1/market/slug/rdc-usfed-fomc-2026-09-16-nochng</w:t>
      </w:r>
      <w:r>
        <w:t xml:space="preserve">.</w:t>
      </w:r>
      <w:r>
        <w:t xml:space="preserve"> </w:t>
      </w:r>
      <w:r>
        <w:t xml:space="preserve">The singular</w:t>
      </w:r>
      <w:r>
        <w:t xml:space="preserve"> </w:t>
      </w:r>
      <w:r>
        <w:rPr>
          <w:rStyle w:val="VerbatimChar"/>
        </w:rPr>
        <w:t xml:space="preserve">/market/slug/</w:t>
      </w:r>
      <w:r>
        <w:t xml:space="preserve"> </w:t>
      </w:r>
      <w:r>
        <w:t xml:space="preserve">path differs from the plural quote/book routes.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market</w:t>
      </w:r>
      <w:r>
        <w:t xml:space="preserve"> </w:t>
      </w:r>
      <w:r>
        <w:t xml:space="preserve">object identified</w:t>
      </w:r>
      <w:r>
        <w:t xml:space="preserve"> </w:t>
      </w:r>
      <w:r>
        <w:rPr>
          <w:b/>
          <w:bCs/>
        </w:rPr>
        <w:t xml:space="preserve">No Change</w:t>
      </w:r>
      <w:r>
        <w:t xml:space="preserve">, ID</w:t>
      </w:r>
      <w:r>
        <w:t xml:space="preserve"> </w:t>
      </w:r>
      <w:r>
        <w:rPr>
          <w:b/>
          <w:bCs/>
        </w:rPr>
        <w:t xml:space="preserve">313138</w:t>
      </w:r>
      <w:r>
        <w:t xml:space="preserve">. The description</w:t>
      </w:r>
      <w:r>
        <w:t xml:space="preserve"> </w:t>
      </w:r>
      <w:r>
        <w:t xml:space="preserve">defines settlement using the upper bound of the federal funds target rate at</w:t>
      </w:r>
      <w:r>
        <w:t xml:space="preserve"> </w:t>
      </w:r>
      <w:r>
        <w:t xml:space="preserve">the September FOMC meeting and names the Federal Reserve as the source. Preserve</w:t>
      </w:r>
      <w:r>
        <w:t xml:space="preserve"> </w:t>
      </w:r>
      <w:r>
        <w:t xml:space="preserve">the complete rules in an approved implementation; this report paraphrases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path</w:t>
            </w:r>
          </w:p>
        </w:tc>
        <w:tc>
          <w:tcPr/>
          <w:p>
            <w:pPr>
              <w:pStyle w:val="Compact"/>
            </w:pPr>
            <w:r>
              <w:t xml:space="preserve">Observed value or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rdc-usfed-fomc-2026-09-16-nochng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MARKET_STATUS_OPEN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was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market.marketSides[].id</w:t>
            </w:r>
          </w:p>
        </w:tc>
        <w:tc>
          <w:tcPr/>
          <w:p>
            <w:pPr>
              <w:pStyle w:val="Compact"/>
            </w:pPr>
            <w:r>
              <w:t xml:space="preserve">Yes: 625838; No: 625839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market.marketSides[].long</w:t>
            </w:r>
          </w:p>
        </w:tc>
        <w:tc>
          <w:tcPr/>
          <w:p>
            <w:pPr>
              <w:pStyle w:val="Compact"/>
            </w:pPr>
            <w:r>
              <w:t xml:space="preserve">Yes: true; No: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market.marketSides[].quote.value</w:t>
            </w:r>
          </w:p>
        </w:tc>
        <w:tc>
          <w:tcPr/>
          <w:p>
            <w:pPr>
              <w:pStyle w:val="Compact"/>
            </w:pPr>
            <w:r>
              <w:t xml:space="preserve">Yes: 0.4800; No: 0.53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market.orderPriceMinTickSize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market.minimumTradeQty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</w:tbl>
    <w:p>
      <w:pPr>
        <w:pStyle w:val="BodyText"/>
      </w:pPr>
      <w:r>
        <w:t xml:space="preserve">Two actual inconsistencies matter. Event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was September 16 at 23:59,</w:t>
      </w:r>
      <w:r>
        <w:t xml:space="preserve"> </w:t>
      </w:r>
      <w:r>
        <w:t xml:space="preserve">whereas the contract's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was September 30 at 23:00. Store both, with</w:t>
      </w:r>
      <w:r>
        <w:t xml:space="preserve"> </w:t>
      </w:r>
      <w:r>
        <w:t xml:space="preserve">their field meaning; do not infer the meeting date from either alone. Also,</w:t>
      </w:r>
      <w:r>
        <w:t xml:space="preserve"> </w:t>
      </w:r>
      <w:r>
        <w:t xml:space="preserve">legacy</w:t>
      </w:r>
      <w:r>
        <w:t xml:space="preserve"> </w:t>
      </w:r>
      <w:r>
        <w:rPr>
          <w:rStyle w:val="VerbatimChar"/>
        </w:rPr>
        <w:t xml:space="preserve">outcomes</w:t>
      </w:r>
      <w:r>
        <w:t xml:space="preserve">/</w:t>
      </w:r>
      <w:r>
        <w:rPr>
          <w:rStyle w:val="VerbatimChar"/>
        </w:rPr>
        <w:t xml:space="preserve">outcomePrices</w:t>
      </w:r>
      <w:r>
        <w:t xml:space="preserve"> </w:t>
      </w:r>
      <w:r>
        <w:t xml:space="preserve">arrays were incomplete or misleading across</w:t>
      </w:r>
      <w:r>
        <w:t xml:space="preserve"> </w:t>
      </w:r>
      <w:r>
        <w:t xml:space="preserve">the five contracts. The 50+ bps decrease contract had two outcome labels but</w:t>
      </w:r>
      <w:r>
        <w:t xml:space="preserve"> </w:t>
      </w:r>
      <w:r>
        <w:t xml:space="preserve">only one price. Validate explicit side identities and quote fields rather than</w:t>
      </w:r>
      <w:r>
        <w:t xml:space="preserve"> </w:t>
      </w:r>
      <w:r>
        <w:t xml:space="preserve">zipping legacy arrays.</w:t>
      </w:r>
      <w:r>
        <w:t xml:space="preserve"> </w:t>
      </w:r>
      <w:r>
        <w:rPr>
          <w:rStyle w:val="FootnoteReference"/>
        </w:rPr>
        <w:footnoteReference w:id="32"/>
      </w:r>
      <w:r>
        <w:t xml:space="preserve">.</w:t>
      </w:r>
    </w:p>
    <w:bookmarkEnd w:id="34"/>
    <w:bookmarkStart w:id="39" w:name="Xb51e030ea438f909a4369bc292c18d856a642c1"/>
    <w:p>
      <w:pPr>
        <w:pStyle w:val="Heading2"/>
      </w:pPr>
      <w:r>
        <w:t xml:space="preserve">4. Quotes, depth and trading statistics</w:t>
      </w:r>
    </w:p>
    <w:p>
      <w:pPr>
        <w:pStyle w:val="FirstParagraph"/>
      </w:pPr>
      <w:r>
        <w:t xml:space="preserve">For the same No Change contract, the BBO response contained: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JSON path under</w:t>
            </w:r>
            <w:r>
              <w:t xml:space="preserve"> </w:t>
            </w:r>
            <w:r>
              <w:rPr>
                <w:rStyle w:val="VerbatimChar"/>
              </w:rPr>
              <w:t xml:space="preserve">marketData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bestBid.value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bestAsk.value</w:t>
            </w:r>
          </w:p>
        </w:tc>
        <w:tc>
          <w:tcPr/>
          <w:p>
            <w:pPr>
              <w:pStyle w:val="Compact"/>
            </w:pPr>
            <w:r>
              <w:t xml:space="preserve">0.4700 / 0.4800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lastTradePx.value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currentPx.value</w:t>
            </w:r>
          </w:p>
        </w:tc>
        <w:tc>
          <w:tcPr/>
          <w:p>
            <w:pPr>
              <w:pStyle w:val="Compact"/>
            </w:pPr>
            <w:r>
              <w:t xml:space="preserve">0.4800 / 0.4700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longQuote.value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shortQuote.value</w:t>
            </w:r>
          </w:p>
        </w:tc>
        <w:tc>
          <w:tcPr/>
          <w:p>
            <w:pPr>
              <w:pStyle w:val="Compact"/>
            </w:pPr>
            <w:r>
              <w:t xml:space="preserve">0.4800 / 0.53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bidDepth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askDepth</w:t>
            </w:r>
          </w:p>
        </w:tc>
        <w:tc>
          <w:tcPr/>
          <w:p>
            <w:pPr>
              <w:pStyle w:val="Compact"/>
            </w:pPr>
            <w:r>
              <w:t xml:space="preserve">13 /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sharesTraded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openInterest</w:t>
            </w:r>
          </w:p>
        </w:tc>
        <w:tc>
          <w:tcPr/>
          <w:p>
            <w:pPr>
              <w:pStyle w:val="Compact"/>
            </w:pPr>
            <w:r>
              <w:t xml:space="preserve">37233.5500 / 456927.4600</w:t>
            </w:r>
          </w:p>
        </w:tc>
      </w:tr>
    </w:tbl>
    <w:p>
      <w:pPr>
        <w:pStyle w:val="BodyText"/>
      </w:pPr>
      <w:r>
        <w:t xml:space="preserve">The book confirmed</w:t>
      </w:r>
      <w:r>
        <w:t xml:space="preserve"> </w:t>
      </w:r>
      <w:r>
        <w:rPr>
          <w:rStyle w:val="VerbatimChar"/>
        </w:rPr>
        <w:t xml:space="preserve">marketData.bids[0]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0.4700</w:t>
      </w:r>
      <w:r>
        <w:t xml:space="preserve">, quantity</w:t>
      </w:r>
      <w:r>
        <w:t xml:space="preserve"> </w:t>
      </w:r>
      <w:r>
        <w:rPr>
          <w:b/>
          <w:bCs/>
        </w:rPr>
        <w:t xml:space="preserve">566.1400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marketData.offers[0]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0.4800</w:t>
      </w:r>
      <w:r>
        <w:t xml:space="preserve">, quantity</w:t>
      </w:r>
      <w:r>
        <w:t xml:space="preserve"> </w:t>
      </w:r>
      <w:r>
        <w:rPr>
          <w:b/>
          <w:bCs/>
        </w:rPr>
        <w:t xml:space="preserve">5129.0200</w:t>
      </w:r>
      <w:r>
        <w:t xml:space="preserve">. The spread is</w:t>
      </w:r>
      <w:r>
        <w:t xml:space="preserve"> </w:t>
      </w:r>
      <w:r>
        <w:t xml:space="preserve">0.0100 USD. These are available quoted quantities at the sampled instant, not</w:t>
      </w:r>
      <w:r>
        <w:t xml:space="preserve"> </w:t>
      </w:r>
      <w:r>
        <w:t xml:space="preserve">guaranteed fills or proof of enduring liquidity.</w:t>
      </w:r>
    </w:p>
    <w:p>
      <w:pPr>
        <w:pStyle w:val="BodyText"/>
      </w:pPr>
      <w:r>
        <w:t xml:space="preserve">Book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also supplied open/high/low/close, last-trade quantity, notional and</w:t>
      </w:r>
      <w:r>
        <w:t xml:space="preserve"> </w:t>
      </w:r>
      <w:r>
        <w:t xml:space="preserve">individual update timestamps. For example,</w:t>
      </w:r>
      <w:r>
        <w:t xml:space="preserve"> </w:t>
      </w:r>
      <w:r>
        <w:rPr>
          <w:rStyle w:val="VerbatimChar"/>
        </w:rPr>
        <w:t xml:space="preserve">lastTradeQty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0.3800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lastTradeSetTime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19:00:56.848 UTC</w:t>
      </w:r>
      <w:r>
        <w:t xml:space="preserve">, about two minutes before collection.</w:t>
      </w:r>
      <w:r>
        <w:t xml:space="preserve"> </w:t>
      </w:r>
      <w:r>
        <w:rPr>
          <w:rStyle w:val="VerbatimChar"/>
        </w:rPr>
        <w:t xml:space="preserve">notionalTraded.value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1828974.7500</w:t>
      </w:r>
      <w:r>
        <w:t xml:space="preserve">, with currency</w:t>
      </w:r>
      <w:r>
        <w:t xml:space="preserve"> </w:t>
      </w:r>
      <w:r>
        <w:rPr>
          <w:rStyle w:val="VerbatimChar"/>
        </w:rPr>
        <w:t xml:space="preserve">USD</w:t>
      </w:r>
      <w:r>
        <w:t xml:space="preserve">; preserve the</w:t>
      </w:r>
      <w:r>
        <w:t xml:space="preserve"> </w:t>
      </w:r>
      <w:r>
        <w:t xml:space="preserve">reported field and verify its units and measurement period before calculating</w:t>
      </w:r>
      <w:r>
        <w:t xml:space="preserve"> </w:t>
      </w:r>
      <w:r>
        <w:t xml:space="preserve">turnover. Field availability alone does not validate our interpretation.</w:t>
      </w:r>
    </w:p>
    <w:p>
      <w:pPr>
        <w:pStyle w:val="BodyText"/>
      </w:pPr>
      <w:r>
        <w:t xml:space="preserve">Do not collapse all price fields into “probability.” Current price, last trade,</w:t>
      </w:r>
      <w:r>
        <w:t xml:space="preserve"> </w:t>
      </w:r>
      <w:r>
        <w:t xml:space="preserve">executable quotes and sampled display prices differ even within these responses.</w:t>
      </w:r>
      <w:r>
        <w:t xml:space="preserve"> </w:t>
      </w:r>
      <w:r>
        <w:rPr>
          <w:rStyle w:val="FootnoteReference"/>
        </w:rPr>
        <w:footnoteReference w:id="35"/>
      </w:r>
      <w:r>
        <w:t xml:space="preserve">,</w:t>
      </w:r>
      <w:r>
        <w:rPr>
          <w:rStyle w:val="FootnoteReference"/>
        </w:rPr>
        <w:footnoteReference w:id="37"/>
      </w:r>
    </w:p>
    <w:bookmarkEnd w:id="39"/>
    <w:bookmarkStart w:id="45" w:name="Xa3de347d7bff1de607d3d832e9af0d47693d5ec"/>
    <w:p>
      <w:pPr>
        <w:pStyle w:val="Heading2"/>
      </w:pPr>
      <w:r>
        <w:t xml:space="preserve">5. History: useful data, with visible gaps</w:t>
      </w:r>
    </w:p>
    <w:p>
      <w:pPr>
        <w:pStyle w:val="FirstParagraph"/>
      </w:pPr>
      <w:r>
        <w:t xml:space="preserve">Both requests used</w:t>
      </w:r>
      <w:r>
        <w:t xml:space="preserve"> </w:t>
      </w:r>
      <w:r>
        <w:rPr>
          <w:rStyle w:val="VerbatimChar"/>
        </w:rPr>
        <w:t xml:space="preserve">/v1/price-history</w:t>
      </w:r>
      <w:r>
        <w:t xml:space="preserve">, with the contract slug as</w:t>
      </w:r>
      <w:r>
        <w:t xml:space="preserve"> </w:t>
      </w:r>
      <w:r>
        <w:rPr>
          <w:rStyle w:val="VerbatimChar"/>
        </w:rPr>
        <w:t xml:space="preserve">symbol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history[]</w:t>
      </w:r>
      <w:r>
        <w:t xml:space="preserve"> </w:t>
      </w:r>
      <w:r>
        <w:t xml:space="preserve">item contains Unix-seconds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longPrice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shortPrice</w:t>
      </w:r>
      <w:r>
        <w:t xml:space="preserve">. These are book-derived display prices, not executed trades.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Requested parameters</w:t>
            </w:r>
          </w:p>
        </w:tc>
        <w:tc>
          <w:tcPr/>
          <w:p>
            <w:pPr>
              <w:pStyle w:val="Compact"/>
            </w:pPr>
            <w:r>
              <w:t xml:space="preserve">Actual returned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fixedInterval=INTERVAL_1D&amp;fidelity=5</w:t>
            </w:r>
          </w:p>
        </w:tc>
        <w:tc>
          <w:tcPr/>
          <w:p>
            <w:pPr>
              <w:pStyle w:val="Compact"/>
            </w:pPr>
            <w:r>
              <w:t xml:space="preserve">249 points; September 7 19:00 to September 8 19:00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fixedInterval=INTERVAL_1W&amp;fidelity=180</w:t>
            </w:r>
          </w:p>
        </w:tc>
        <w:tc>
          <w:tcPr/>
          <w:p>
            <w:pPr>
              <w:pStyle w:val="Compact"/>
            </w:pPr>
            <w:r>
              <w:t xml:space="preserve">57 points; September 1 18:00 to September 8 18:00</w:t>
            </w:r>
          </w:p>
        </w:tc>
      </w:tr>
    </w:tbl>
    <w:p>
      <w:pPr>
        <w:pStyle w:val="BodyText"/>
      </w:pPr>
      <w:r>
        <w:t xml:space="preserve">The weekly samples were three hours apart. Daily samples were usually five</w:t>
      </w:r>
      <w:r>
        <w:t xml:space="preserve"> </w:t>
      </w:r>
      <w:r>
        <w:t xml:space="preserve">minutes apart, with gaps from September 8</w:t>
      </w:r>
      <w:r>
        <w:t xml:space="preserve"> </w:t>
      </w:r>
      <w:r>
        <w:rPr>
          <w:b/>
          <w:bCs/>
        </w:rPr>
        <w:t xml:space="preserve">06:25–06:50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06:50–09:55</w:t>
      </w:r>
      <w:r>
        <w:t xml:space="preserve">.</w:t>
      </w:r>
      <w:r>
        <w:t xml:space="preserve"> </w:t>
      </w:r>
      <w:r>
        <w:t xml:space="preserve">The response does not establish why points were absent. Do not invent data</w:t>
      </w:r>
      <w:r>
        <w:t xml:space="preserve"> </w:t>
      </w:r>
      <w:r>
        <w:t xml:space="preserve">between observations or promise a complete historical archive.</w:t>
      </w:r>
    </w:p>
    <w:p>
      <w:pPr>
        <w:pStyle w:val="BodyText"/>
      </w:pPr>
      <w:r>
        <w:t xml:space="preserve">The latest daily point was</w:t>
      </w:r>
      <w:r>
        <w:t xml:space="preserve"> </w:t>
      </w:r>
      <w:r>
        <w:rPr>
          <w:b/>
          <w:bCs/>
        </w:rPr>
        <w:t xml:space="preserve">0.48 long / 0.53 short</w:t>
      </w:r>
      <w:r>
        <w:t xml:space="preserve">. Their sum exceeds one:</w:t>
      </w:r>
      <w:r>
        <w:t xml:space="preserve"> </w:t>
      </w:r>
      <w:r>
        <w:t xml:space="preserve">these display prices reflect the two sides and spread, rather than a pair of</w:t>
      </w:r>
      <w:r>
        <w:t xml:space="preserve"> </w:t>
      </w:r>
      <w:r>
        <w:t xml:space="preserve">complementary verified probabilities. The live</w:t>
      </w:r>
      <w:r>
        <w:t xml:space="preserve"> </w:t>
      </w:r>
      <w:r>
        <w:rPr>
          <w:rStyle w:val="VerbatimChar"/>
        </w:rPr>
        <w:t xml:space="preserve">lastPriceSample.shortPx</w:t>
      </w:r>
      <w:r>
        <w:t xml:space="preserve"> </w:t>
      </w:r>
      <w:r>
        <w:t xml:space="preserve">field</w:t>
      </w:r>
      <w:r>
        <w:t xml:space="preserve"> </w:t>
      </w:r>
      <w:r>
        <w:t xml:space="preserve">was 0.52 instead; retain field identity and timestamp when comparing sources.</w:t>
      </w:r>
      <w:r>
        <w:rPr>
          <w:rStyle w:val="FootnoteReference"/>
        </w:rPr>
        <w:footnoteReference w:id="40"/>
      </w:r>
    </w:p>
    <w:p>
      <w:pPr>
        <w:pStyle w:val="BodyText"/>
        <w:keepNext/>
      </w:pPr>
      <w:r>
        <w:drawing>
          <wp:inline>
            <wp:extent cx="6400800" cy="2557045"/>
            <wp:effectExtent b="0" l="0" r="0" t="0"/>
            <wp:docPr descr="Chart of observed Fed No Change history samples" title="" id="43" name="Picture"/>
            <a:graphic>
              <a:graphicData uri="http://schemas.openxmlformats.org/drawingml/2006/picture">
                <pic:pic>
                  <pic:nvPicPr>
                    <pic:cNvPr descr="screenshots/polymarket-us-fed-histor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5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Chart generated from the actual saved history samples. It is our visualization,</w:t>
      </w:r>
      <w:r>
        <w:rPr>
          <w:i/>
          <w:iCs/>
        </w:rPr>
        <w:t xml:space="preserve"> </w:t>
      </w:r>
      <w:r>
        <w:rPr>
          <w:i/>
          <w:iCs/>
        </w:rPr>
        <w:t xml:space="preserve">not a screenshot of Polymarket's interface; missing samples remain missing.</w:t>
      </w:r>
    </w:p>
    <w:bookmarkEnd w:id="45"/>
    <w:bookmarkStart w:id="48" w:name="X242b68ad4b7e4d0e89d259e8d3295ddf3a539a3"/>
    <w:p>
      <w:pPr>
        <w:pStyle w:val="Heading2"/>
      </w:pPr>
      <w:r>
        <w:t xml:space="preserve">6. Settlement and reference data</w:t>
      </w:r>
    </w:p>
    <w:p>
      <w:pPr>
        <w:pStyle w:val="FirstParagraph"/>
      </w:pPr>
      <w:r>
        <w:t xml:space="preserve">The open Fed contract's dedicated settlement endpoint returned</w:t>
      </w:r>
      <w:r>
        <w:t xml:space="preserve"> </w:t>
      </w:r>
      <w:r>
        <w:rPr>
          <w:b/>
          <w:bCs/>
        </w:rPr>
        <w:t xml:space="preserve">404</w:t>
      </w:r>
      <w:r>
        <w:t xml:space="preserve">, with</w:t>
      </w:r>
      <w:r>
        <w:t xml:space="preserve"> </w:t>
      </w:r>
      <w:r>
        <w:t xml:space="preserve">“Settlement not found.” Nevertheless, its BBO/book contained</w:t>
      </w:r>
      <w:r>
        <w:t xml:space="preserve"> </w:t>
      </w:r>
      <w:r>
        <w:rPr>
          <w:rStyle w:val="VerbatimChar"/>
        </w:rPr>
        <w:t xml:space="preserve">settlementPx.value=0.5000</w:t>
      </w:r>
      <w:r>
        <w:t xml:space="preserve">. That field is therefore not proof of final event</w:t>
      </w:r>
      <w:r>
        <w:t xml:space="preserve"> </w:t>
      </w:r>
      <w:r>
        <w:t xml:space="preserve">resolution. A separate resolved sports contract,</w:t>
      </w:r>
      <w:r>
        <w:t xml:space="preserve"> </w:t>
      </w:r>
      <w:r>
        <w:rPr>
          <w:rStyle w:val="VerbatimChar"/>
        </w:rPr>
        <w:t xml:space="preserve">aec-nfl-lac-ten-2025-11-02</w:t>
      </w:r>
      <w:r>
        <w:t xml:space="preserve">, returned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settlement: 1</w:t>
      </w:r>
      <w:r>
        <w:t xml:space="preserve">; its market</w:t>
      </w:r>
      <w:r>
        <w:t xml:space="preserve"> </w:t>
      </w:r>
      <w:r>
        <w:t xml:space="preserve">status was</w:t>
      </w:r>
      <w:r>
        <w:t xml:space="preserve"> </w:t>
      </w:r>
      <w:r>
        <w:rPr>
          <w:rStyle w:val="VerbatimChar"/>
        </w:rPr>
        <w:t xml:space="preserve">MARKET_STATUS_RESOLVED</w:t>
      </w:r>
      <w:r>
        <w:t xml:space="preserve">. Resolve state and side identity together.</w:t>
      </w:r>
      <w:r>
        <w:rPr>
          <w:rStyle w:val="FootnoteReference"/>
        </w:rPr>
        <w:footnoteReference w:id="46"/>
      </w:r>
    </w:p>
    <w:p>
      <w:pPr>
        <w:pStyle w:val="BodyText"/>
      </w:pPr>
      <w:r>
        <w:t xml:space="preserve">Reference calls returned series</w:t>
      </w:r>
      <w:r>
        <w:t xml:space="preserve"> </w:t>
      </w:r>
      <w:r>
        <w:rPr>
          <w:b/>
          <w:bCs/>
        </w:rPr>
        <w:t xml:space="preserve">NFL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NFL 2025</w:t>
      </w:r>
      <w:r>
        <w:t xml:space="preserve">, leagues</w:t>
      </w:r>
      <w:r>
        <w:t xml:space="preserve"> </w:t>
      </w:r>
      <w:r>
        <w:rPr>
          <w:b/>
          <w:bCs/>
        </w:rPr>
        <w:t xml:space="preserve">UEFA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MLB</w:t>
      </w:r>
      <w:r>
        <w:t xml:space="preserve">, and five tags including</w:t>
      </w:r>
      <w:r>
        <w:t xml:space="preserve"> </w:t>
      </w:r>
      <w:r>
        <w:rPr>
          <w:b/>
          <w:bCs/>
        </w:rPr>
        <w:t xml:space="preserve">Supreme Court</w:t>
      </w:r>
      <w:r>
        <w:t xml:space="preserve">. They expose IDs, labels,</w:t>
      </w:r>
      <w:r>
        <w:t xml:space="preserve"> </w:t>
      </w:r>
      <w:r>
        <w:t xml:space="preserve">slugs and sometimes parent/league relationships. A tag's existence does not</w:t>
      </w:r>
      <w:r>
        <w:t xml:space="preserve"> </w:t>
      </w:r>
      <w:r>
        <w:t xml:space="preserve">prove an active market or usable liquidity. Teams and schedules are documented</w:t>
      </w:r>
      <w:r>
        <w:t xml:space="preserve"> </w:t>
      </w:r>
      <w:r>
        <w:t xml:space="preserve">capabilities but were not separately requested in this inventory.</w:t>
      </w:r>
    </w:p>
    <w:bookmarkEnd w:id="48"/>
    <w:bookmarkStart w:id="55" w:name="X435a32614ddc2de52b6fb332c73a95ade31f4af"/>
    <w:p>
      <w:pPr>
        <w:pStyle w:val="Heading2"/>
      </w:pPr>
      <w:r>
        <w:t xml:space="preserve">7. Images and news: different content sources</w:t>
      </w:r>
    </w:p>
    <w:p>
      <w:pPr>
        <w:pStyle w:val="FirstParagraph"/>
      </w:pPr>
      <w:r>
        <w:t xml:space="preserve">The public market schema includes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 subject images and team logos/icons.</w:t>
      </w:r>
      <w:r>
        <w:t xml:space="preserve"> </w:t>
      </w:r>
      <w:r>
        <w:t xml:space="preserve">Actual responses contained event artwork: the Fed event's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was a portrait</w:t>
      </w:r>
      <w:r>
        <w:t xml:space="preserve"> </w:t>
      </w:r>
      <w:r>
        <w:t xml:space="preserve">URL, while the sports-market sample referenced a team logo. Contract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fields explain the question and settlement rules; they are not</w:t>
      </w:r>
      <w:r>
        <w:t xml:space="preserve"> </w:t>
      </w:r>
      <w:r>
        <w:t xml:space="preserve">article bodies. Image URLs establish technical availability, not unrestricted</w:t>
      </w:r>
      <w:r>
        <w:t xml:space="preserve"> </w:t>
      </w:r>
      <w:r>
        <w:t xml:space="preserve">rights to copy, redistribute or use third-party photographs and logos.</w:t>
      </w:r>
      <w:r>
        <w:t xml:space="preserve"> </w:t>
      </w:r>
      <w:hyperlink r:id="rId33">
        <w:r>
          <w:rPr>
            <w:rStyle w:val="Hyperlink"/>
          </w:rPr>
          <w:t xml:space="preserve">Market reference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Polymarket does publish journalism.</w:t>
      </w:r>
      <w:r>
        <w:t xml:space="preserve"> </w:t>
      </w:r>
      <w:r>
        <w:t xml:space="preserve">Its separate publication,</w:t>
      </w:r>
      <w:r>
        <w:t xml:space="preserve"> </w:t>
      </w:r>
      <w:r>
        <w:rPr>
          <w:b/>
          <w:bCs/>
        </w:rPr>
        <w:t xml:space="preserve">The Oracle</w:t>
      </w:r>
      <w:r>
        <w:t xml:space="preserve">,</w:t>
      </w:r>
      <w:r>
        <w:t xml:space="preserve"> </w:t>
      </w:r>
      <w:r>
        <w:t xml:space="preserve">contains news analysis and interviews. The current US API documentation index</w:t>
      </w:r>
      <w:r>
        <w:t xml:space="preserve"> </w:t>
      </w:r>
      <w:r>
        <w:t xml:space="preserve">has no documented news/article endpoint. International Journalism Tools also</w:t>
      </w:r>
      <w:r>
        <w:t xml:space="preserve"> </w:t>
      </w:r>
      <w:r>
        <w:t xml:space="preserve">offer a market timeline with related stories, but that website feature does not</w:t>
      </w:r>
      <w:r>
        <w:t xml:space="preserve"> </w:t>
      </w:r>
      <w:r>
        <w:t xml:space="preserve">establish a supported news-ingestion API or a republication licence for us.</w:t>
      </w:r>
      <w:r>
        <w:t xml:space="preserve"> </w:t>
      </w:r>
      <w:r>
        <w:rPr>
          <w:rStyle w:val="FootnoteReference"/>
        </w:rPr>
        <w:footnoteReference w:id="49"/>
      </w:r>
      <w:r>
        <w:t xml:space="preserve">,</w:t>
      </w:r>
      <w:r>
        <w:t xml:space="preserve"> </w:t>
      </w:r>
      <w:r>
        <w:rPr>
          <w:rStyle w:val="FootnoteReference"/>
        </w:rPr>
        <w:footnoteReference w:id="51"/>
      </w:r>
      <w:r>
        <w:t xml:space="preserve">,</w:t>
      </w:r>
      <w:r>
        <w:rPr>
          <w:rStyle w:val="FootnoteReference"/>
        </w:rPr>
        <w:footnoteReference w:id="53"/>
      </w:r>
    </w:p>
    <w:p>
      <w:pPr>
        <w:pStyle w:val="BodyText"/>
      </w:pPr>
      <w:r>
        <w:t xml:space="preserve">The MVP therefore uses</w:t>
      </w:r>
      <w:r>
        <w:t xml:space="preserve"> </w:t>
      </w:r>
      <w:r>
        <w:rPr>
          <w:b/>
          <w:bCs/>
        </w:rPr>
        <w:t xml:space="preserve">Polymarket US for market data and event artwork</w:t>
      </w:r>
      <w:r>
        <w:t xml:space="preserve"> </w:t>
      </w:r>
      <w:r>
        <w:t xml:space="preserve">and</w:t>
      </w:r>
      <w:r>
        <w:t xml:space="preserve"> </w:t>
      </w:r>
      <w:r>
        <w:t xml:space="preserve">our existing news sources for a separately labelled</w:t>
      </w:r>
      <w:r>
        <w:t xml:space="preserve"> </w:t>
      </w:r>
      <w:r>
        <w:rPr>
          <w:b/>
          <w:bCs/>
        </w:rPr>
        <w:t xml:space="preserve">Related news</w:t>
      </w:r>
      <w:r>
        <w:t xml:space="preserve"> </w:t>
      </w:r>
      <w:r>
        <w:t xml:space="preserve">section.</w:t>
      </w:r>
      <w:r>
        <w:t xml:space="preserve"> </w:t>
      </w:r>
      <w:r>
        <w:t xml:space="preserve">Keep the original publisher, date and article link. A topic match is contextual;</w:t>
      </w:r>
      <w:r>
        <w:t xml:space="preserve"> </w:t>
      </w:r>
      <w:r>
        <w:t xml:space="preserve">it does not establish that the article caused a price change. A link to The</w:t>
      </w:r>
      <w:r>
        <w:t xml:space="preserve"> </w:t>
      </w:r>
      <w:r>
        <w:t xml:space="preserve">Oracle is distinct from importing or reproducing its articles. News-provider</w:t>
      </w:r>
      <w:r>
        <w:t xml:space="preserve"> </w:t>
      </w:r>
      <w:r>
        <w:t xml:space="preserve">content and image rights remain governed by their own terms.</w:t>
      </w:r>
    </w:p>
    <w:bookmarkEnd w:id="55"/>
    <w:bookmarkStart w:id="62" w:name="Xf3a6c8f348a25f959a57e80fbd5cb19620d58af"/>
    <w:p>
      <w:pPr>
        <w:pStyle w:val="Heading2"/>
      </w:pPr>
      <w:r>
        <w:t xml:space="preserve">8. Connection options beyond the saved samples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Documented capability</w:t>
            </w:r>
          </w:p>
        </w:tc>
        <w:tc>
          <w:tcPr/>
          <w:p>
            <w:pPr>
              <w:pStyle w:val="Compac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 market WebSocket</w:t>
            </w:r>
          </w:p>
        </w:tc>
        <w:tc>
          <w:tcPr/>
          <w:p>
            <w:pPr>
              <w:pStyle w:val="Compact"/>
            </w:pPr>
            <w:r>
              <w:t xml:space="preserve">Real-time books, price updates and trades; API key required</w:t>
            </w:r>
          </w:p>
        </w:tc>
        <w:tc>
          <w:tcPr/>
          <w:p>
            <w:pPr>
              <w:pStyle w:val="Compact"/>
            </w:pPr>
            <w:r>
              <w:t xml:space="preserve">Optional credentialed connection implemented for the MVP; upstream authentication and delivery 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Exchange data API</w:t>
            </w:r>
          </w:p>
        </w:tc>
        <w:tc>
          <w:tcPr/>
          <w:p>
            <w:pPr>
              <w:pStyle w:val="Compact"/>
            </w:pPr>
            <w:r>
              <w:t xml:space="preserve">Read-only reference data, BBO, depth and statistics through REST/gRPC</w:t>
            </w:r>
          </w:p>
        </w:tc>
        <w:tc>
          <w:tcPr/>
          <w:p>
            <w:pPr>
              <w:pStyle w:val="Compact"/>
            </w:pPr>
            <w:r>
              <w:t xml:space="preserve">Documentation reviewed; no credentials obtained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Private/account API</w:t>
            </w:r>
          </w:p>
        </w:tc>
        <w:tc>
          <w:tcPr/>
          <w:p>
            <w:pPr>
              <w:pStyle w:val="Compact"/>
            </w:pPr>
            <w:r>
              <w:t xml:space="preserve">Own balances, positions, orders and private updates</w:t>
            </w:r>
          </w:p>
        </w:tc>
        <w:tc>
          <w:tcPr/>
          <w:p>
            <w:pPr>
              <w:pStyle w:val="Compact"/>
            </w:pPr>
            <w:r>
              <w:t xml:space="preserve">Not accessed; unnecessary for the proposed panel</w:t>
            </w:r>
          </w:p>
        </w:tc>
      </w:tr>
    </w:tbl>
    <w:p>
      <w:pPr>
        <w:pStyle w:val="BodyText"/>
      </w:pPr>
      <w:r>
        <w:t xml:space="preserve">Public REST is documented at</w:t>
      </w:r>
      <w:r>
        <w:t xml:space="preserve"> </w:t>
      </w:r>
      <w:r>
        <w:rPr>
          <w:b/>
          <w:bCs/>
        </w:rPr>
        <w:t xml:space="preserve">20 requests/second/IP</w:t>
      </w:r>
      <w:r>
        <w:t xml:space="preserve">. It requires polling and</w:t>
      </w:r>
      <w:r>
        <w:t xml:space="preserve"> </w:t>
      </w:r>
      <w:r>
        <w:t xml:space="preserve">does not capture every intervening change. Retail keys require account and</w:t>
      </w:r>
      <w:r>
        <w:t xml:space="preserve"> </w:t>
      </w:r>
      <w:r>
        <w:t xml:space="preserve">identity verification; institutional data access has separate onboarding.</w:t>
      </w:r>
      <w:r>
        <w:t xml:space="preserve"> </w:t>
      </w:r>
      <w:r>
        <w:t xml:space="preserve">No measured streaming latency or service guarantee follows from these tests.</w:t>
      </w:r>
      <w:r>
        <w:t xml:space="preserve"> </w:t>
      </w:r>
      <w:r>
        <w:t xml:space="preserve">The local preview refreshes selected market data through REST every</w:t>
      </w:r>
      <w:r>
        <w:t xml:space="preserve"> </w:t>
      </w:r>
      <w:r>
        <w:rPr>
          <w:b/>
          <w:bCs/>
        </w:rPr>
        <w:t xml:space="preserve">10 seconds</w:t>
      </w:r>
      <w:r>
        <w:t xml:space="preserve">;</w:t>
      </w:r>
      <w:r>
        <w:t xml:space="preserve"> </w:t>
      </w:r>
      <w:r>
        <w:t xml:space="preserve">this is polling, not an authenticated WebSocket session or a lossless trade feed.</w:t>
      </w:r>
      <w:r>
        <w:t xml:space="preserve"> </w:t>
      </w:r>
      <w:r>
        <w:rPr>
          <w:rStyle w:val="FootnoteReference"/>
        </w:rPr>
        <w:footnoteReference w:id="56"/>
      </w:r>
      <w:r>
        <w:t xml:space="preserve">,</w:t>
      </w:r>
      <w:r>
        <w:t xml:space="preserve"> </w:t>
      </w:r>
      <w:r>
        <w:rPr>
          <w:rStyle w:val="FootnoteReference"/>
        </w:rPr>
        <w:footnoteReference w:id="58"/>
      </w:r>
      <w:r>
        <w:t xml:space="preserve">,</w:t>
      </w:r>
      <w:r>
        <w:rPr>
          <w:rStyle w:val="FootnoteReference"/>
        </w:rPr>
        <w:footnoteReference w:id="60"/>
      </w:r>
    </w:p>
    <w:bookmarkEnd w:id="62"/>
    <w:bookmarkStart w:id="75" w:name="Xf4ed158ef290801aaa4a1c8de7d8bed4847e393"/>
    <w:p>
      <w:pPr>
        <w:pStyle w:val="Heading2"/>
      </w:pPr>
      <w:r>
        <w:t xml:space="preserve">9. Local MVP implementation and capture record</w:t>
      </w:r>
    </w:p>
    <w:p>
      <w:pPr>
        <w:pStyle w:val="FirstParagraph"/>
      </w:pPr>
      <w:r>
        <w:t xml:space="preserve">The local preview at</w:t>
      </w:r>
      <w:r>
        <w:t xml:space="preserve"> </w:t>
      </w:r>
      <w:r>
        <w:rPr>
          <w:rStyle w:val="VerbatimChar"/>
          <w:b/>
          <w:bCs/>
        </w:rPr>
        <w:t xml:space="preserve">/polymarket</w:t>
      </w:r>
      <w:r>
        <w:t xml:space="preserve"> </w:t>
      </w:r>
      <w:r>
        <w:t xml:space="preserve">combines search and topic selection, event</w:t>
      </w:r>
      <w:r>
        <w:t xml:space="preserve"> </w:t>
      </w:r>
      <w:r>
        <w:t xml:space="preserve">graphics, YES/NO price tabs, a time-based history chart with shaded gaps,</w:t>
      </w:r>
      <w:r>
        <w:t xml:space="preserve"> </w:t>
      </w:r>
      <w:r>
        <w:t xml:space="preserve">order-book context, statistics, contract rules and related article cards. Its</w:t>
      </w:r>
      <w:r>
        <w:t xml:space="preserve"> </w:t>
      </w:r>
      <w:r>
        <w:t xml:space="preserve">path is</w:t>
      </w:r>
      <w:r>
        <w:t xml:space="preserve"> </w:t>
      </w:r>
      <w:r>
        <w:rPr>
          <w:b/>
          <w:bCs/>
        </w:rPr>
        <w:t xml:space="preserve">Next.js page → server-side adapter → public Polymarket US REST</w:t>
      </w:r>
      <w:r>
        <w:t xml:space="preserve">.</w:t>
      </w:r>
      <w:r>
        <w:t xml:space="preserve"> </w:t>
      </w:r>
      <w:r>
        <w:t xml:space="preserve">It is separate from the</w:t>
      </w:r>
      <w:r>
        <w:t xml:space="preserve"> </w:t>
      </w:r>
      <w:r>
        <w:t xml:space="preserve">future persistent Postgres collector and employee production deployment.</w:t>
      </w:r>
      <w:r>
        <w:t xml:space="preserve"> </w:t>
      </w:r>
      <w:r>
        <w:t xml:space="preserve">Optional WebSocket support uses a server-side connection and forwards status,</w:t>
      </w:r>
      <w:r>
        <w:t xml:space="preserve"> </w:t>
      </w:r>
      <w:r>
        <w:t xml:space="preserve">quote and book updates to the page through SSE. It requires server-side</w:t>
      </w:r>
      <w:r>
        <w:t xml:space="preserve"> </w:t>
      </w:r>
      <w:r>
        <w:t xml:space="preserve">credentials; none are configured locally and no authenticated upstream stream</w:t>
      </w:r>
      <w:r>
        <w:t xml:space="preserve"> </w:t>
      </w:r>
      <w:r>
        <w:t xml:space="preserve">has been verified.</w:t>
      </w:r>
    </w:p>
    <w:p>
      <w:pPr>
        <w:pStyle w:val="BodyText"/>
      </w:pPr>
      <w:r>
        <w:t xml:space="preserve">The preview deliberately limits scope: search returns up to</w:t>
      </w:r>
      <w:r>
        <w:t xml:space="preserve"> </w:t>
      </w:r>
      <w:r>
        <w:rPr>
          <w:b/>
          <w:bCs/>
        </w:rPr>
        <w:t xml:space="preserve">eight events</w:t>
      </w:r>
      <w:r>
        <w:t xml:space="preserve">,</w:t>
      </w:r>
      <w:r>
        <w:t xml:space="preserve"> </w:t>
      </w:r>
      <w:r>
        <w:t xml:space="preserve">with up to</w:t>
      </w:r>
      <w:r>
        <w:t xml:space="preserve"> </w:t>
      </w:r>
      <w:r>
        <w:rPr>
          <w:b/>
          <w:bCs/>
        </w:rPr>
        <w:t xml:space="preserve">40 contracts per event</w:t>
      </w:r>
      <w:r>
        <w:t xml:space="preserve">; the page shows the top</w:t>
      </w:r>
      <w:r>
        <w:t xml:space="preserve"> </w:t>
      </w:r>
      <w:r>
        <w:rPr>
          <w:b/>
          <w:bCs/>
        </w:rPr>
        <w:t xml:space="preserve">five bid and ask</w:t>
      </w:r>
      <w:r>
        <w:rPr>
          <w:b/>
          <w:bCs/>
        </w:rP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from an adapter capped at 50 per side. It displays</w:t>
      </w:r>
      <w:r>
        <w:t xml:space="preserve"> </w:t>
      </w:r>
      <w:r>
        <w:rPr>
          <w:b/>
          <w:bCs/>
        </w:rPr>
        <w:t xml:space="preserve">six news cards</w:t>
      </w:r>
      <w:r>
        <w:t xml:space="preserve"> </w:t>
      </w:r>
      <w:r>
        <w:t xml:space="preserve">from at most 12 results and offers</w:t>
      </w:r>
      <w:r>
        <w:t xml:space="preserve"> </w:t>
      </w:r>
      <w:r>
        <w:rPr>
          <w:b/>
          <w:bCs/>
        </w:rPr>
        <w:t xml:space="preserve">one-day and one-week</w:t>
      </w:r>
      <w:r>
        <w:t xml:space="preserve"> </w:t>
      </w:r>
      <w:r>
        <w:t xml:space="preserve">history views.</w:t>
      </w:r>
      <w:r>
        <w:t xml:space="preserve"> </w:t>
      </w:r>
      <w:r>
        <w:t xml:space="preserve">These bounds describe the local interface, not an exhaustive exchange archive.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Preview refresh</w:t>
            </w:r>
          </w:p>
        </w:tc>
        <w:tc>
          <w:tcPr/>
          <w:p>
            <w:pPr>
              <w:pStyle w:val="Compact"/>
            </w:pPr>
            <w:r>
              <w:t xml:space="preserve">Implemented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quotes and book</w:t>
            </w:r>
          </w:p>
        </w:tc>
        <w:tc>
          <w:tcPr/>
          <w:p>
            <w:pPr>
              <w:pStyle w:val="Compact"/>
            </w:pPr>
            <w:r>
              <w:t xml:space="preserve">REST refresh every 10 seconds; pause control and hidden-tab pause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Reuse identical requests for 30 seconds; retain time spacing and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detail</w:t>
            </w:r>
          </w:p>
        </w:tc>
        <w:tc>
          <w:tcPr/>
          <w:p>
            <w:pPr>
              <w:pStyle w:val="Compact"/>
            </w:pPr>
            <w:r>
              <w:t xml:space="preserve">Refresh every 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news</w:t>
            </w:r>
          </w:p>
        </w:tc>
        <w:tc>
          <w:tcPr/>
          <w:p>
            <w:pPr>
              <w:pStyle w:val="Compact"/>
            </w:pPr>
            <w:r>
              <w:t xml:space="preserve">Refresh every five minutes through the separate news endpoint</w:t>
            </w:r>
          </w:p>
        </w:tc>
      </w:tr>
    </w:tbl>
    <w:p>
      <w:pPr>
        <w:pStyle w:val="BodyText"/>
      </w:pPr>
      <w:r>
        <w:t xml:space="preserve">The product AI panel is hidden on this page and Polymarket prices are not sent</w:t>
      </w:r>
      <w:r>
        <w:t xml:space="preserve"> </w:t>
      </w:r>
      <w:r>
        <w:t xml:space="preserve">to its AI pipeline. Related news comes through the existing provider path.</w:t>
      </w:r>
    </w:p>
    <w:p>
      <w:pPr>
        <w:pStyle w:val="BodyText"/>
      </w:pPr>
      <w:r>
        <w:t xml:space="preserve">Charts use returned historical display-price samples. They must retain gaps and</w:t>
      </w:r>
      <w:r>
        <w:t xml:space="preserve"> </w:t>
      </w:r>
      <w:r>
        <w:t xml:space="preserve">identify empty history rather than generate illustrative prices. Poll timestamps,</w:t>
      </w:r>
      <w:r>
        <w:t xml:space="preserve"> </w:t>
      </w:r>
      <w:r>
        <w:t xml:space="preserve">upstream price timestamps and last-trade timestamps describe different things.</w:t>
      </w:r>
      <w:r>
        <w:t xml:space="preserve"> </w:t>
      </w:r>
      <w:r>
        <w:t xml:space="preserve">Related news retains its own provider attribution; it is not presented as a</w:t>
      </w:r>
      <w:r>
        <w:t xml:space="preserve"> </w:t>
      </w:r>
      <w:r>
        <w:t xml:space="preserve">Polymarket news API response.</w:t>
      </w:r>
    </w:p>
    <w:p>
      <w:pPr>
        <w:pStyle w:val="BodyText"/>
      </w:pPr>
      <w:r>
        <w:rPr>
          <w:b/>
          <w:bCs/>
        </w:rPr>
        <w:t xml:space="preserve">Validation completed at 2026-09-09 02:27:04.221871 UTC.</w:t>
      </w:r>
      <w:r>
        <w:t xml:space="preserve"> </w:t>
      </w:r>
      <w:r>
        <w:t xml:space="preserve">Eleven recorded</w:t>
      </w:r>
      <w:r>
        <w:t xml:space="preserve"> </w:t>
      </w:r>
      <w:r>
        <w:t xml:space="preserve">browser checks covered public quotes/book/history, a loaded event image,</w:t>
      </w:r>
      <w:r>
        <w:t xml:space="preserve"> </w:t>
      </w:r>
      <w:r>
        <w:t xml:space="preserve">automatic refresh, pause/resume, day/week switching, keyboard chart inspection,</w:t>
      </w:r>
      <w:r>
        <w:t xml:space="preserve"> </w:t>
      </w:r>
      <w:r>
        <w:t xml:space="preserve">search and contract identity, simulated upstream failure with labelled old data,</w:t>
      </w:r>
      <w:r>
        <w:t xml:space="preserve"> </w:t>
      </w:r>
      <w:r>
        <w:t xml:space="preserve">390-pixel mobile layout, desktop/dark rendering and no browser runtime errors.</w:t>
      </w:r>
      <w:r>
        <w:t xml:space="preserve"> </w:t>
      </w:r>
      <w:r>
        <w:t xml:space="preserve">Ten real quote responses had receipt times from</w:t>
      </w:r>
      <w:r>
        <w:t xml:space="preserve"> </w:t>
      </w:r>
      <w:r>
        <w:rPr>
          <w:b/>
          <w:bCs/>
        </w:rPr>
        <w:t xml:space="preserve">02:26:20.925 to 02:27:00.930 UTC</w:t>
      </w:r>
      <w:r>
        <w:t xml:space="preserve">.</w:t>
      </w:r>
      <w:r>
        <w:t xml:space="preserve"> </w:t>
      </w:r>
      <w:r>
        <w:t xml:space="preserve">The code also passed</w:t>
      </w:r>
      <w:r>
        <w:t xml:space="preserve"> </w:t>
      </w:r>
      <w:r>
        <w:rPr>
          <w:b/>
          <w:bCs/>
        </w:rPr>
        <w:t xml:space="preserve">19 unit tests, targeted ESLint, TypeScript checking and a</w:t>
      </w:r>
      <w:r>
        <w:rPr>
          <w:b/>
          <w:bCs/>
        </w:rPr>
        <w:t xml:space="preserve"> </w:t>
      </w:r>
      <w:r>
        <w:rPr>
          <w:b/>
          <w:bCs/>
        </w:rPr>
        <w:t xml:space="preserve">production build</w:t>
      </w:r>
      <w:r>
        <w:t xml:space="preserve">. Authenticated upstream WebSocket remains untested.</w:t>
      </w:r>
      <w:r>
        <w:rPr>
          <w:rStyle w:val="FootnoteReference"/>
        </w:rPr>
        <w:footnoteReference w:id="63"/>
      </w:r>
    </w:p>
    <w:p>
      <w:pPr>
        <w:pStyle w:val="BodyText"/>
      </w:pPr>
      <w:r>
        <w:t xml:space="preserve">The separately saved local response for</w:t>
      </w:r>
      <w:r>
        <w:t xml:space="preserve"> </w:t>
      </w:r>
      <w:r>
        <w:rPr>
          <w:b/>
          <w:bCs/>
        </w:rPr>
        <w:t xml:space="preserve">Fed No Change</w:t>
      </w:r>
      <w:r>
        <w:t xml:space="preserve"> </w:t>
      </w:r>
      <w:r>
        <w:t xml:space="preserve">recorded bid</w:t>
      </w:r>
      <w:r>
        <w:t xml:space="preserve"> </w:t>
      </w:r>
      <w:r>
        <w:rPr>
          <w:b/>
          <w:bCs/>
        </w:rPr>
        <w:t xml:space="preserve">0.47</w:t>
      </w:r>
      <w:r>
        <w:t xml:space="preserve">,</w:t>
      </w:r>
      <w:r>
        <w:t xml:space="preserve"> </w:t>
      </w:r>
      <w:r>
        <w:t xml:space="preserve">ask</w:t>
      </w:r>
      <w:r>
        <w:t xml:space="preserve"> </w:t>
      </w:r>
      <w:r>
        <w:rPr>
          <w:b/>
          <w:bCs/>
        </w:rPr>
        <w:t xml:space="preserve">0.48</w:t>
      </w:r>
      <w:r>
        <w:t xml:space="preserve">, YES</w:t>
      </w:r>
      <w:r>
        <w:t xml:space="preserve"> </w:t>
      </w:r>
      <w:r>
        <w:rPr>
          <w:b/>
          <w:bCs/>
        </w:rPr>
        <w:t xml:space="preserve">0.48</w:t>
      </w:r>
      <w:r>
        <w:t xml:space="preserve">, NO</w:t>
      </w:r>
      <w:r>
        <w:t xml:space="preserve"> </w:t>
      </w:r>
      <w:r>
        <w:rPr>
          <w:b/>
          <w:bCs/>
        </w:rPr>
        <w:t xml:space="preserve">0.53</w:t>
      </w:r>
      <w:r>
        <w:t xml:space="preserve">, and last trade</w:t>
      </w:r>
      <w:r>
        <w:t xml:space="preserve"> </w:t>
      </w:r>
      <w:r>
        <w:rPr>
          <w:b/>
          <w:bCs/>
        </w:rPr>
        <w:t xml:space="preserve">0.48</w:t>
      </w:r>
      <w:r>
        <w:t xml:space="preserve">; the quote receipt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02:26:45.750 UTC</w:t>
      </w:r>
      <w:r>
        <w:t xml:space="preserve">. Its chart data contained</w:t>
      </w:r>
      <w:r>
        <w:t xml:space="preserve"> </w:t>
      </w:r>
      <w:r>
        <w:rPr>
          <w:b/>
          <w:bCs/>
        </w:rPr>
        <w:t xml:space="preserve">243 points and four gaps</w:t>
      </w:r>
      <w:r>
        <w:t xml:space="preserve">,</w:t>
      </w:r>
      <w:r>
        <w:t xml:space="preserve"> </w:t>
      </w:r>
      <w:r>
        <w:t xml:space="preserve">received at</w:t>
      </w:r>
      <w:r>
        <w:t xml:space="preserve"> </w:t>
      </w:r>
      <w:r>
        <w:rPr>
          <w:b/>
          <w:bCs/>
        </w:rPr>
        <w:t xml:space="preserve">02:26:21.673 UTC</w:t>
      </w:r>
      <w:r>
        <w:t xml:space="preserve">. Workbook</w:t>
      </w:r>
      <w:r>
        <w:t xml:space="preserve"> </w:t>
      </w:r>
      <w:r>
        <w:rPr>
          <w:rStyle w:val="VerbatimChar"/>
        </w:rPr>
        <w:t xml:space="preserve">MVPHistory</w:t>
      </w:r>
      <w:r>
        <w:t xml:space="preserve"> </w:t>
      </w:r>
      <w:r>
        <w:t xml:space="preserve">records these normalized</w:t>
      </w:r>
      <w:r>
        <w:t xml:space="preserve"> </w:t>
      </w:r>
      <w:r>
        <w:t xml:space="preserve">points and their file hash. They are distinct from the older 249-point sample in</w:t>
      </w:r>
      <w:r>
        <w:t xml:space="preserve"> </w:t>
      </w:r>
      <w:r>
        <w:t xml:space="preserve">section 5; each screenshot has its own capture time.</w:t>
      </w:r>
      <w:r>
        <w:rPr>
          <w:rStyle w:val="FootnoteReference"/>
        </w:rPr>
        <w:footnoteReference w:id="65"/>
      </w:r>
    </w:p>
    <w:p>
      <w:pPr>
        <w:pStyle w:val="BodyText"/>
      </w:pPr>
      <w:r>
        <w:t xml:space="preserve">The related-news request returned</w:t>
      </w:r>
      <w:r>
        <w:t xml:space="preserve"> </w:t>
      </w:r>
      <w:r>
        <w:rPr>
          <w:b/>
          <w:bCs/>
        </w:rPr>
        <w:t xml:space="preserve">nine results with eight image URLs</w:t>
      </w:r>
      <w:r>
        <w:t xml:space="preserve">; the</w:t>
      </w:r>
      <w:r>
        <w:t xml:space="preserve"> </w:t>
      </w:r>
      <w:r>
        <w:t xml:space="preserve">page displayed</w:t>
      </w:r>
      <w:r>
        <w:t xml:space="preserve"> </w:t>
      </w:r>
      <w:r>
        <w:rPr>
          <w:b/>
          <w:bCs/>
        </w:rPr>
        <w:t xml:space="preserve">six cards</w:t>
      </w:r>
      <w:r>
        <w:t xml:space="preserve">. The newest returned article was dated</w:t>
      </w:r>
      <w:r>
        <w:t xml:space="preserve"> </w:t>
      </w:r>
      <w:r>
        <w:rPr>
          <w:b/>
          <w:bCs/>
        </w:rPr>
        <w:t xml:space="preserve">30 August</w:t>
      </w:r>
      <w:r>
        <w:rPr>
          <w:b/>
          <w:bCs/>
        </w:rPr>
        <w:t xml:space="preserve"> </w:t>
      </w:r>
      <w:r>
        <w:rPr>
          <w:b/>
          <w:bCs/>
        </w:rPr>
        <w:t xml:space="preserve">2026</w:t>
      </w:r>
      <w:r>
        <w:t xml:space="preserve">. A successful provider request therefore does not establish real-time news:</w:t>
      </w:r>
      <w:r>
        <w:t xml:space="preserve"> </w:t>
      </w:r>
      <w:r>
        <w:t xml:space="preserve">the UI preserves article dates and source attribution.</w:t>
      </w:r>
      <w:r>
        <w:t xml:space="preserve"> </w:t>
      </w:r>
      <w:r>
        <w:t xml:space="preserve">An additional browser check confirmed that selecting a Bitcoin event changes</w:t>
      </w:r>
      <w:r>
        <w:t xml:space="preserve"> </w:t>
      </w:r>
      <w:r>
        <w:t xml:space="preserve">related news to the Crypto category; the news request uses that category without</w:t>
      </w:r>
      <w:r>
        <w:t xml:space="preserve"> </w:t>
      </w:r>
      <w:r>
        <w:t xml:space="preserve">sending Polymarket contract text to the news provider.</w:t>
      </w:r>
    </w:p>
    <w:p>
      <w:pPr>
        <w:pStyle w:val="BodyText"/>
        <w:keepNext/>
      </w:pPr>
      <w:r>
        <w:drawing>
          <wp:inline>
            <wp:extent cx="6400800" cy="7556499"/>
            <wp:effectExtent b="0" l="0" r="0" t="0"/>
            <wp:docPr descr="Actual local Polymarket MVP market view" title="" id="68" name="Picture"/>
            <a:graphic>
              <a:graphicData uri="http://schemas.openxmlformats.org/drawingml/2006/picture">
                <pic:pic>
                  <pic:nvPicPr>
                    <pic:cNvPr descr="screenshots/polymarket-mvp-desktop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55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Actual local MVP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http://127.0.0.1:3000/polymarket</w:t>
      </w:r>
      <w:r>
        <w:rPr>
          <w:i/>
          <w:iCs/>
        </w:rPr>
        <w:t xml:space="preserve">, captured on 9 September</w:t>
      </w:r>
      <w:r>
        <w:rPr>
          <w:i/>
          <w:iCs/>
        </w:rPr>
        <w:t xml:space="preserve"> </w:t>
      </w:r>
      <w:r>
        <w:rPr>
          <w:i/>
          <w:iCs/>
        </w:rPr>
        <w:t xml:space="preserve">2026 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02:26:51.323448 UTC</w:t>
      </w:r>
      <w:r>
        <w:rPr>
          <w:i/>
          <w:iCs/>
        </w:rPr>
        <w:t xml:space="preserve">, using public REST data and an actual event image.</w:t>
      </w:r>
      <w:r>
        <w:rPr>
          <w:i/>
          <w:iCs/>
        </w:rPr>
        <w:t xml:space="preserve"> </w:t>
      </w:r>
      <w:r>
        <w:rPr>
          <w:i/>
          <w:iCs/>
        </w:rPr>
        <w:t xml:space="preserve">This is our interface, not the Polymarket website; the chart uses the separately</w:t>
      </w:r>
      <w:r>
        <w:rPr>
          <w:i/>
          <w:iCs/>
        </w:rPr>
        <w:t xml:space="preserve"> </w:t>
      </w:r>
      <w:r>
        <w:rPr>
          <w:i/>
          <w:iCs/>
        </w:rPr>
        <w:t xml:space="preserve">recorded local-response history, not the older static report sample.</w:t>
      </w:r>
    </w:p>
    <w:p>
      <w:pPr>
        <w:pStyle w:val="BodyText"/>
        <w:keepNext/>
      </w:pPr>
      <w:r>
        <w:drawing>
          <wp:inline>
            <wp:extent cx="6400800" cy="4407985"/>
            <wp:effectExtent b="0" l="0" r="0" t="0"/>
            <wp:docPr descr="Actual local Polymarket MVP related-news view" title="" id="71" name="Picture"/>
            <a:graphic>
              <a:graphicData uri="http://schemas.openxmlformats.org/drawingml/2006/picture">
                <pic:pic>
                  <pic:nvPicPr>
                    <pic:cNvPr descr="screenshots/polymarket-mvp-new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07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Actual local MVP related-news section, captured on 9 September 2026 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02:26:51.853924 UTC</w:t>
      </w:r>
      <w:r>
        <w:rPr>
          <w:i/>
          <w:iCs/>
        </w:rPr>
        <w:t xml:space="preserve">. Article cards are attributed to configured providers;</w:t>
      </w:r>
      <w:r>
        <w:rPr>
          <w:i/>
          <w:iCs/>
        </w:rPr>
        <w:t xml:space="preserve"> </w:t>
      </w:r>
      <w:r>
        <w:rPr>
          <w:i/>
          <w:iCs/>
        </w:rPr>
        <w:t xml:space="preserve">they were not obtained through a Polymarket article API. Capture hashes and</w:t>
      </w:r>
      <w:r>
        <w:rPr>
          <w:i/>
          <w:iCs/>
        </w:rPr>
        <w:t xml:space="preserve"> </w:t>
      </w:r>
      <w:r>
        <w:rPr>
          <w:i/>
          <w:iCs/>
        </w:rPr>
        <w:t xml:space="preserve">the mobile/dark screenshots are in the validation record.</w:t>
      </w:r>
      <w:r>
        <w:rPr>
          <w:rStyle w:val="FootnoteReference"/>
        </w:rPr>
        <w:footnoteReference w:id="73"/>
      </w:r>
    </w:p>
    <w:bookmarkEnd w:id="75"/>
    <w:bookmarkStart w:id="85" w:name="X27ffa2fc85b20c191a2c264afb2957702446b72"/>
    <w:p>
      <w:pPr>
        <w:pStyle w:val="Heading2"/>
      </w:pPr>
      <w:r>
        <w:t xml:space="preserve">10. Permission, cost and the practical next step</w:t>
      </w:r>
    </w:p>
    <w:p>
      <w:pPr>
        <w:pStyle w:val="FirstParagraph"/>
      </w:pPr>
      <w:r>
        <w:rPr>
          <w:b/>
          <w:bCs/>
        </w:rPr>
        <w:t xml:space="preserve">No key was needed for these public reads; company usage permission is still</w:t>
      </w:r>
      <w:r>
        <w:rPr>
          <w:b/>
          <w:bCs/>
        </w:rPr>
        <w:t xml:space="preserve"> </w:t>
      </w:r>
      <w:r>
        <w:rPr>
          <w:b/>
          <w:bCs/>
        </w:rPr>
        <w:t xml:space="preserve">unresolved.</w:t>
      </w:r>
      <w:r>
        <w:t xml:space="preserve"> </w:t>
      </w:r>
      <w:r>
        <w:t xml:space="preserve">We made the requests without contacting Polymarket or requesting</w:t>
      </w:r>
      <w:r>
        <w:t xml:space="preserve"> </w:t>
      </w:r>
      <w:r>
        <w:t xml:space="preserve">individual technical approval. US documentation welcomes data displays, while linked app terms</w:t>
      </w:r>
      <w:r>
        <w:t xml:space="preserve"> </w:t>
      </w:r>
      <w:r>
        <w:t xml:space="preserve">limit the standard data licence to personal, noncommercial trading-related use.</w:t>
      </w:r>
      <w:r>
        <w:t xml:space="preserve"> </w:t>
      </w:r>
      <w:r>
        <w:t xml:space="preserve">Our interpretation is that neither public accessibility nor a personal login</w:t>
      </w:r>
      <w:r>
        <w:t xml:space="preserve"> </w:t>
      </w:r>
      <w:r>
        <w:t xml:space="preserve">establishes rights for recurring corporate analytics. Confirm our specific use</w:t>
      </w:r>
      <w:r>
        <w:t xml:space="preserve"> </w:t>
      </w:r>
      <w:r>
        <w:t xml:space="preserve">in writing, or obtain the appropriate agreement, before production collection.</w:t>
      </w:r>
      <w:r>
        <w:rPr>
          <w:rStyle w:val="FootnoteReference"/>
        </w:rPr>
        <w:footnoteReference w:id="76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Conclusion for our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it connect without contacting Polymarket?</w:t>
            </w:r>
          </w:p>
        </w:tc>
        <w:tc>
          <w:tcPr/>
          <w:p>
            <w:pPr>
              <w:pStyle w:val="Compact"/>
            </w:pPr>
            <w:r>
              <w:t xml:space="preserve">Public REST can; no key or separate technical approval step is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we pay?</w:t>
            </w:r>
          </w:p>
        </w:tc>
        <w:tc>
          <w:tcPr/>
          <w:p>
            <w:pPr>
              <w:pStyle w:val="Compact"/>
            </w:pPr>
            <w:r>
              <w:t xml:space="preserve">Not established; no public price for our intended corporate use was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a working local page establish permission?</w:t>
            </w:r>
          </w:p>
        </w:tc>
        <w:tc>
          <w:tcPr/>
          <w:p>
            <w:pPr>
              <w:pStyle w:val="Compact"/>
            </w:pPr>
            <w:r>
              <w:t xml:space="preserve">No; it demonstrates technical behaviour, not a corporate data licence or a provider-approved trial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needed before recurring production use?</w:t>
            </w:r>
          </w:p>
        </w:tc>
        <w:tc>
          <w:tcPr/>
          <w:p>
            <w:pPr>
              <w:pStyle w:val="Compact"/>
            </w:pPr>
            <w:r>
              <w:t xml:space="preserve">Written confirmation of our public-API usage scope or an applicable agreement</w:t>
            </w:r>
          </w:p>
        </w:tc>
      </w:tr>
    </w:tbl>
    <w:p>
      <w:pPr>
        <w:pStyle w:val="BodyText"/>
      </w:pPr>
      <w:r>
        <w:t xml:space="preserve">Calling a page local, internal or a pilot does not create a licensing exemption.</w:t>
      </w:r>
      <w:r>
        <w:t xml:space="preserve"> </w:t>
      </w:r>
      <w:r>
        <w:t xml:space="preserve">The saved samples and interactive development checks should be described by</w:t>
      </w:r>
      <w:r>
        <w:t xml:space="preserve"> </w:t>
      </w:r>
      <w:r>
        <w:t xml:space="preserve">their actual scope, not as an approved free commercial dataset.</w:t>
      </w:r>
    </w:p>
    <w:p>
      <w:pPr>
        <w:pStyle w:val="BodyText"/>
      </w:pPr>
      <w:r>
        <w:t xml:space="preserve">The documented Market Data Agreement route is</w:t>
      </w:r>
      <w:r>
        <w:t xml:space="preserve"> </w:t>
      </w:r>
      <w:hyperlink r:id="rId78">
        <w:r>
          <w:rPr>
            <w:rStyle w:val="Hyperlink"/>
            <w:b/>
            <w:bCs/>
          </w:rPr>
          <w:t xml:space="preserve">data@polymarket.us</w:t>
        </w:r>
      </w:hyperlink>
      <w:r>
        <w:t xml:space="preserve">.</w:t>
      </w:r>
      <w:r>
        <w:t xml:space="preserve"> </w:t>
      </w:r>
      <w:r>
        <w:t xml:space="preserve">We have not established its price, that payment is inevitable, or that every</w:t>
      </w:r>
      <w:r>
        <w:t xml:space="preserve"> </w:t>
      </w:r>
      <w:r>
        <w:t xml:space="preserve">public API request requires institutional onboarding. The market response's</w:t>
      </w:r>
      <w:r>
        <w:t xml:space="preserve"> </w:t>
      </w:r>
      <w:r>
        <w:rPr>
          <w:rStyle w:val="VerbatimChar"/>
        </w:rPr>
        <w:t xml:space="preserve">feeCoefficient</w:t>
      </w:r>
      <w:r>
        <w:t xml:space="preserve"> </w:t>
      </w:r>
      <w:r>
        <w:t xml:space="preserve">is not a data-licence quote. Confirm employee display, storage,</w:t>
      </w:r>
      <w:r>
        <w:t xml:space="preserve"> </w:t>
      </w:r>
      <w:r>
        <w:t xml:space="preserve">retention, backups, event images, derived metrics and external AI processing explicitly.</w:t>
      </w:r>
      <w:r>
        <w:t xml:space="preserve"> </w:t>
      </w:r>
      <w:r>
        <w:t xml:space="preserve">No licensing request, purchase or trading action was made.</w:t>
      </w:r>
      <w:r>
        <w:rPr>
          <w:rStyle w:val="FootnoteReference"/>
        </w:rPr>
        <w:footnoteReference w:id="79"/>
      </w:r>
    </w:p>
    <w:p>
      <w:pPr>
        <w:pStyle w:val="BodyText"/>
      </w:pPr>
      <w:r>
        <w:t xml:space="preserve">Polymarket's July 2026 Institutional Research announcement separately offers</w:t>
      </w:r>
      <w:r>
        <w:t xml:space="preserve"> </w:t>
      </w:r>
      <w:r>
        <w:t xml:space="preserve">commercial data sales for both its US and international exchanges through</w:t>
      </w:r>
      <w:r>
        <w:t xml:space="preserve"> </w:t>
      </w:r>
      <w:r>
        <w:rPr>
          <w:rStyle w:val="VerbatimChar"/>
        </w:rPr>
        <w:t xml:space="preserve">institutional@polymarket.com</w:t>
      </w:r>
      <w:r>
        <w:t xml:space="preserve">. It does not publish our price or say that every</w:t>
      </w:r>
      <w:r>
        <w:t xml:space="preserve"> </w:t>
      </w:r>
      <w:r>
        <w:t xml:space="preserve">public read requires payment. The US fee schedule describes trading charges;</w:t>
      </w:r>
      <w:r>
        <w:t xml:space="preserve"> </w:t>
      </w:r>
      <w:r>
        <w:t xml:space="preserve">those charges are not a quote for a read-only data licence.</w:t>
      </w:r>
      <w:r>
        <w:t xml:space="preserve"> </w:t>
      </w:r>
      <w:r>
        <w:rPr>
          <w:rStyle w:val="FootnoteReference"/>
        </w:rPr>
        <w:footnoteReference w:id="81"/>
      </w:r>
      <w:r>
        <w:t xml:space="preserve">,</w:t>
      </w:r>
      <w:r>
        <w:rPr>
          <w:rStyle w:val="FootnoteReference"/>
        </w:rPr>
        <w:footnoteReference w:id="83"/>
      </w:r>
    </w:p>
    <w:p>
      <w:pPr>
        <w:pStyle w:val="BodyText"/>
      </w:pPr>
      <w:r>
        <w:rPr>
          <w:b/>
          <w:bCs/>
        </w:rPr>
        <w:t xml:space="preserve">This inventory concerns Polymarket US.</w:t>
      </w:r>
      <w:r>
        <w:t xml:space="preserve"> </w:t>
      </w:r>
      <w:r>
        <w:t xml:space="preserve">International</w:t>
      </w:r>
      <w:r>
        <w:t xml:space="preserve"> </w:t>
      </w:r>
      <w:r>
        <w:rPr>
          <w:rStyle w:val="VerbatimChar"/>
        </w:rPr>
        <w:t xml:space="preserve">polymarket.com</w:t>
      </w:r>
      <w:r>
        <w:t xml:space="preserve"> </w:t>
      </w:r>
      <w:r>
        <w:t xml:space="preserve">uses</w:t>
      </w:r>
      <w:r>
        <w:t xml:space="preserve"> </w:t>
      </w:r>
      <w:r>
        <w:t xml:space="preserve">separate APIs and licensing; ICE's international role does not establish a US</w:t>
      </w:r>
      <w:r>
        <w:t xml:space="preserve"> </w:t>
      </w:r>
      <w:r>
        <w:t xml:space="preserve">requirement.</w:t>
      </w:r>
    </w:p>
    <w:bookmarkEnd w:id="85"/>
    <w:bookmarkStart w:id="86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Official sources were reviewed on 8–9 September 2026. Local evidence retains its exact request or capture time; the terms cited are effective 25 September 2025.</w:t>
      </w:r>
    </w:p>
    <w:p>
      <w:pPr>
        <w:pStyle w:val="Compact"/>
        <w:numPr>
          <w:ilvl w:val="0"/>
          <w:numId w:val="1001"/>
        </w:numPr>
      </w:pPr>
      <w:r>
        <w:t xml:space="preserve">Local validation evidence.</w:t>
      </w:r>
      <w:r>
        <w:t xml:space="preserve"> </w:t>
      </w:r>
      <w:hyperlink r:id="rId19">
        <w:r>
          <w:rPr>
            <w:rStyle w:val="Hyperlink"/>
          </w:rPr>
          <w:t xml:space="preserve">Original request manifest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21">
        <w:r>
          <w:rPr>
            <w:rStyle w:val="Hyperlink"/>
          </w:rPr>
          <w:t xml:space="preserve">Public API introduction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30">
        <w:r>
          <w:rPr>
            <w:rStyle w:val="Hyperlink"/>
          </w:rPr>
          <w:t xml:space="preserve">public event page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33">
        <w:r>
          <w:rPr>
            <w:rStyle w:val="Hyperlink"/>
          </w:rPr>
          <w:t xml:space="preserve">Market reference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36">
        <w:r>
          <w:rPr>
            <w:rStyle w:val="Hyperlink"/>
          </w:rPr>
          <w:t xml:space="preserve">BBO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38">
        <w:r>
          <w:rPr>
            <w:rStyle w:val="Hyperlink"/>
          </w:rPr>
          <w:t xml:space="preserve">order book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41">
        <w:r>
          <w:rPr>
            <w:rStyle w:val="Hyperlink"/>
          </w:rPr>
          <w:t xml:space="preserve">History reference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47">
        <w:r>
          <w:rPr>
            <w:rStyle w:val="Hyperlink"/>
          </w:rPr>
          <w:t xml:space="preserve">Settlement API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/ The Oracle.</w:t>
      </w:r>
      <w:r>
        <w:t xml:space="preserve"> </w:t>
      </w:r>
      <w:hyperlink r:id="rId50">
        <w:r>
          <w:rPr>
            <w:rStyle w:val="Hyperlink"/>
          </w:rPr>
          <w:t xml:space="preserve">The Oracle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52">
        <w:r>
          <w:rPr>
            <w:rStyle w:val="Hyperlink"/>
          </w:rPr>
          <w:t xml:space="preserve">US API index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/ The Oracle.</w:t>
      </w:r>
      <w:r>
        <w:t xml:space="preserve"> </w:t>
      </w:r>
      <w:hyperlink r:id="rId54">
        <w:r>
          <w:rPr>
            <w:rStyle w:val="Hyperlink"/>
          </w:rPr>
          <w:t xml:space="preserve">Journalism Tools announcement</w:t>
        </w:r>
      </w:hyperlink>
      <w:r>
        <w:t xml:space="preserve">. 2 April 2026.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57">
        <w:r>
          <w:rPr>
            <w:rStyle w:val="Hyperlink"/>
          </w:rPr>
          <w:t xml:space="preserve">Limits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59">
        <w:r>
          <w:rPr>
            <w:rStyle w:val="Hyperlink"/>
          </w:rPr>
          <w:t xml:space="preserve">WebSocket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61">
        <w:r>
          <w:rPr>
            <w:rStyle w:val="Hyperlink"/>
          </w:rPr>
          <w:t xml:space="preserve">institutional guide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Local validation evidence.</w:t>
      </w:r>
      <w:r>
        <w:t xml:space="preserve"> </w:t>
      </w:r>
      <w:hyperlink r:id="rId64">
        <w:r>
          <w:rPr>
            <w:rStyle w:val="Hyperlink"/>
          </w:rPr>
          <w:t xml:space="preserve">Recorded browser checks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Local validation evidence.</w:t>
      </w:r>
      <w:r>
        <w:t xml:space="preserve"> </w:t>
      </w:r>
      <w:hyperlink r:id="rId66">
        <w:r>
          <w:rPr>
            <w:rStyle w:val="Hyperlink"/>
          </w:rPr>
          <w:t xml:space="preserve">Local normalized response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Local validation evidence.</w:t>
      </w:r>
      <w:r>
        <w:t xml:space="preserve"> </w:t>
      </w:r>
      <w:hyperlink r:id="rId74">
        <w:r>
          <w:rPr>
            <w:rStyle w:val="Hyperlink"/>
          </w:rPr>
          <w:t xml:space="preserve">Screenshot metadata and hashes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77">
        <w:r>
          <w:rPr>
            <w:rStyle w:val="Hyperlink"/>
          </w:rPr>
          <w:t xml:space="preserve">US terms, effective 25 September 2025, §§5, 7 and 19</w:t>
        </w:r>
      </w:hyperlink>
      <w:r>
        <w:t xml:space="preserve">. 25 September 2025.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80">
        <w:r>
          <w:rPr>
            <w:rStyle w:val="Hyperlink"/>
          </w:rPr>
          <w:t xml:space="preserve">Data onboarding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/ The Oracle.</w:t>
      </w:r>
      <w:r>
        <w:t xml:space="preserve"> </w:t>
      </w:r>
      <w:hyperlink r:id="rId82">
        <w:r>
          <w:rPr>
            <w:rStyle w:val="Hyperlink"/>
          </w:rPr>
          <w:t xml:space="preserve">Institutional Research announcement</w:t>
        </w:r>
      </w:hyperlink>
      <w:r>
        <w:t xml:space="preserve">. 8 July 2026.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84">
        <w:r>
          <w:rPr>
            <w:rStyle w:val="Hyperlink"/>
          </w:rPr>
          <w:t xml:space="preserve">Trading fees</w:t>
        </w:r>
      </w:hyperlink>
      <w:r>
        <w:t xml:space="preserve">.</w:t>
      </w:r>
    </w:p>
    <w:bookmarkEnd w:id="86"/>
    <w:bookmarkEnd w:id="87"/>
    <w:sectPr w:rsidR="00FC693F" w:rsidRPr="0006063C" w:rsidSect="00034616">
      <w:footerReference r:id="rId9" w:type="default"/>
      <w:pgSz w:h="16838" w:w="11906"/>
      <w:pgMar w:bottom="907" w:footer="720" w:gutter="0" w:header="720" w:left="907" w:right="907" w:top="90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Polymarket data inventory •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9">
        <w:r>
          <w:rPr>
            <w:rStyle w:val="Hyperlink"/>
          </w:rPr>
          <w:t xml:space="preserve">Original request manifest</w:t>
        </w:r>
      </w:hyperlink>
      <w:r>
        <w:t xml:space="preserve">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1">
        <w:r>
          <w:rPr>
            <w:rStyle w:val="Hyperlink"/>
          </w:rPr>
          <w:t xml:space="preserve">Public API introduction</w:t>
        </w:r>
      </w:hyperlink>
      <w:r>
        <w:t xml:space="preserve">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0">
        <w:r>
          <w:rPr>
            <w:rStyle w:val="Hyperlink"/>
          </w:rPr>
          <w:t xml:space="preserve">public event page</w:t>
        </w:r>
      </w:hyperlink>
      <w:r>
        <w:t xml:space="preserve">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3">
        <w:r>
          <w:rPr>
            <w:rStyle w:val="Hyperlink"/>
          </w:rPr>
          <w:t xml:space="preserve">Market reference</w:t>
        </w:r>
      </w:hyperlink>
      <w:r>
        <w:t xml:space="preserve">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6">
        <w:r>
          <w:rPr>
            <w:rStyle w:val="Hyperlink"/>
          </w:rPr>
          <w:t xml:space="preserve">BBO</w:t>
        </w:r>
      </w:hyperlink>
      <w:r>
        <w:t xml:space="preserve">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8">
        <w:r>
          <w:rPr>
            <w:rStyle w:val="Hyperlink"/>
          </w:rPr>
          <w:t xml:space="preserve">order book</w:t>
        </w:r>
      </w:hyperlink>
      <w:r>
        <w:t xml:space="preserve">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1">
        <w:r>
          <w:rPr>
            <w:rStyle w:val="Hyperlink"/>
          </w:rPr>
          <w:t xml:space="preserve">History reference</w:t>
        </w:r>
      </w:hyperlink>
      <w:r>
        <w:t xml:space="preserve">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7">
        <w:r>
          <w:rPr>
            <w:rStyle w:val="Hyperlink"/>
          </w:rPr>
          <w:t xml:space="preserve">Settlement API</w:t>
        </w:r>
      </w:hyperlink>
      <w:r>
        <w:t xml:space="preserve">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0">
        <w:r>
          <w:rPr>
            <w:rStyle w:val="Hyperlink"/>
          </w:rPr>
          <w:t xml:space="preserve">The Oracle</w:t>
        </w:r>
      </w:hyperlink>
      <w:r>
        <w:t xml:space="preserve">.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2">
        <w:r>
          <w:rPr>
            <w:rStyle w:val="Hyperlink"/>
          </w:rPr>
          <w:t xml:space="preserve">US API index</w:t>
        </w:r>
      </w:hyperlink>
      <w:r>
        <w:t xml:space="preserve">.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4">
        <w:r>
          <w:rPr>
            <w:rStyle w:val="Hyperlink"/>
          </w:rPr>
          <w:t xml:space="preserve">Journalism Tools announcement</w:t>
        </w:r>
      </w:hyperlink>
      <w:r>
        <w:t xml:space="preserve">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7">
        <w:r>
          <w:rPr>
            <w:rStyle w:val="Hyperlink"/>
          </w:rPr>
          <w:t xml:space="preserve">Limits</w:t>
        </w:r>
      </w:hyperlink>
      <w:r>
        <w:t xml:space="preserve">.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9">
        <w:r>
          <w:rPr>
            <w:rStyle w:val="Hyperlink"/>
          </w:rPr>
          <w:t xml:space="preserve">WebSocket</w:t>
        </w:r>
      </w:hyperlink>
      <w:r>
        <w:t xml:space="preserve">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1">
        <w:r>
          <w:rPr>
            <w:rStyle w:val="Hyperlink"/>
          </w:rPr>
          <w:t xml:space="preserve">institutional guide</w:t>
        </w:r>
      </w:hyperlink>
      <w:r>
        <w:t xml:space="preserve">.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4">
        <w:r>
          <w:rPr>
            <w:rStyle w:val="Hyperlink"/>
          </w:rPr>
          <w:t xml:space="preserve">Recorded browser checks</w:t>
        </w:r>
      </w:hyperlink>
      <w:r>
        <w:t xml:space="preserve">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6">
        <w:r>
          <w:rPr>
            <w:rStyle w:val="Hyperlink"/>
          </w:rPr>
          <w:t xml:space="preserve">Local normalized response</w:t>
        </w:r>
      </w:hyperlink>
      <w:r>
        <w:t xml:space="preserve">.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4">
        <w:r>
          <w:rPr>
            <w:rStyle w:val="Hyperlink"/>
          </w:rPr>
          <w:t xml:space="preserve">Screenshot metadata and hashes</w:t>
        </w:r>
      </w:hyperlink>
      <w:r>
        <w:t xml:space="preserve">.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7">
        <w:r>
          <w:rPr>
            <w:rStyle w:val="Hyperlink"/>
          </w:rPr>
          <w:t xml:space="preserve">US terms, effective 25 September 2025, §§5, 7 and 19</w:t>
        </w:r>
      </w:hyperlink>
      <w:r>
        <w:t xml:space="preserve">.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80">
        <w:r>
          <w:rPr>
            <w:rStyle w:val="Hyperlink"/>
          </w:rPr>
          <w:t xml:space="preserve">Data onboarding</w:t>
        </w:r>
      </w:hyperlink>
      <w:r>
        <w:t xml:space="preserve">.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82">
        <w:r>
          <w:rPr>
            <w:rStyle w:val="Hyperlink"/>
          </w:rPr>
          <w:t xml:space="preserve">Institutional Research announcement</w:t>
        </w:r>
      </w:hyperlink>
      <w:r>
        <w:t xml:space="preserve">.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84">
        <w:r>
          <w:rPr>
            <w:rStyle w:val="Hyperlink"/>
          </w:rPr>
          <w:t xml:space="preserve">Trading fees</w:t>
        </w:r>
      </w:hyperlink>
      <w:r>
        <w:t xml:space="preserve">.</w:t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/>
    </w:pPr>
    <w:rPr>
      <w:rFonts w:ascii="Arial" w:hAnsi="Arial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3263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3263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3263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Arial" w:asciiTheme="majorHAnsi" w:cstheme="majorBidi" w:eastAsiaTheme="majorEastAsia" w:hAnsi="Arial" w:hAnsiTheme="majorHAnsi"/>
      <w:color w:val="13263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rial" w:hAnsi="Arial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67" Type="http://schemas.openxmlformats.org/officeDocument/2006/relationships/image" Target="media/rId67.png"/><Relationship Id="rId70" Type="http://schemas.openxmlformats.org/officeDocument/2006/relationships/image" Target="media/rId70.png"/><Relationship Id="rId26" Type="http://schemas.openxmlformats.org/officeDocument/2006/relationships/image" Target="media/rId26.png"/><Relationship Id="rId42" Type="http://schemas.openxmlformats.org/officeDocument/2006/relationships/image" Target="media/rId42.png"/><Relationship Id="rId22" Type="http://schemas.openxmlformats.org/officeDocument/2006/relationships/image" Target="media/rId22.png"/><Relationship Id="rId21" Type="http://schemas.openxmlformats.org/officeDocument/2006/relationships/hyperlink" Target="https://docs.polymarket.us/api-reference/introduction" TargetMode="External"/><Relationship Id="rId36" Type="http://schemas.openxmlformats.org/officeDocument/2006/relationships/hyperlink" Target="https://docs.polymarket.us/api-reference/markets/get-market-bbo" TargetMode="External"/><Relationship Id="rId38" Type="http://schemas.openxmlformats.org/officeDocument/2006/relationships/hyperlink" Target="https://docs.polymarket.us/api-reference/markets/get-market-book" TargetMode="External"/><Relationship Id="rId47" Type="http://schemas.openxmlformats.org/officeDocument/2006/relationships/hyperlink" Target="https://docs.polymarket.us/api-reference/markets/get-market-settlement" TargetMode="External"/><Relationship Id="rId33" Type="http://schemas.openxmlformats.org/officeDocument/2006/relationships/hyperlink" Target="https://docs.polymarket.us/api-reference/markets/get-markets" TargetMode="External"/><Relationship Id="rId41" Type="http://schemas.openxmlformats.org/officeDocument/2006/relationships/hyperlink" Target="https://docs.polymarket.us/api-reference/price-history/get-price-history" TargetMode="External"/><Relationship Id="rId57" Type="http://schemas.openxmlformats.org/officeDocument/2006/relationships/hyperlink" Target="https://docs.polymarket.us/api-reference/rate-limits" TargetMode="External"/><Relationship Id="rId59" Type="http://schemas.openxmlformats.org/officeDocument/2006/relationships/hyperlink" Target="https://docs.polymarket.us/api-reference/websocket/markets" TargetMode="External"/><Relationship Id="rId80" Type="http://schemas.openxmlformats.org/officeDocument/2006/relationships/hyperlink" Target="https://docs.polymarket.us/data-guide/onboarding" TargetMode="External"/><Relationship Id="rId61" Type="http://schemas.openxmlformats.org/officeDocument/2006/relationships/hyperlink" Target="https://docs.polymarket.us/data-guide/overview" TargetMode="External"/><Relationship Id="rId84" Type="http://schemas.openxmlformats.org/officeDocument/2006/relationships/hyperlink" Target="https://docs.polymarket.us/fees" TargetMode="External"/><Relationship Id="rId52" Type="http://schemas.openxmlformats.org/officeDocument/2006/relationships/hyperlink" Target="https://docs.polymarket.us/llms.txt" TargetMode="External"/><Relationship Id="rId50" Type="http://schemas.openxmlformats.org/officeDocument/2006/relationships/hyperlink" Target="https://news.polymarket.com/about" TargetMode="External"/><Relationship Id="rId82" Type="http://schemas.openxmlformats.org/officeDocument/2006/relationships/hyperlink" Target="https://news.polymarket.com/p/introducing-polymarket-institutional" TargetMode="External"/><Relationship Id="rId54" Type="http://schemas.openxmlformats.org/officeDocument/2006/relationships/hyperlink" Target="https://news.polymarket.com/p/new-polymarket-tools-for-journalists" TargetMode="External"/><Relationship Id="rId30" Type="http://schemas.openxmlformats.org/officeDocument/2006/relationships/hyperlink" Target="https://polymarket.us/event/usfed-fomc-2026-09-16" TargetMode="External"/><Relationship Id="rId77" Type="http://schemas.openxmlformats.org/officeDocument/2006/relationships/hyperlink" Target="https://polymarket.us/tos" TargetMode="External"/><Relationship Id="rId78" Type="http://schemas.openxmlformats.org/officeDocument/2006/relationships/hyperlink" Target="mailto:data@polymarket.us" TargetMode="External"/><Relationship Id="rId19" Type="http://schemas.openxmlformats.org/officeDocument/2006/relationships/hyperlink" Target="polymarket-evidence/2026-09-08/manifest.json" TargetMode="External"/><Relationship Id="rId74" Type="http://schemas.openxmlformats.org/officeDocument/2006/relationships/hyperlink" Target="polymarket-evidence/2026-09-08/screenshots.json" TargetMode="External"/><Relationship Id="rId66" Type="http://schemas.openxmlformats.org/officeDocument/2006/relationships/hyperlink" Target="polymarket-evidence/2026-09-09/mvp-market.json" TargetMode="External"/><Relationship Id="rId64" Type="http://schemas.openxmlformats.org/officeDocument/2006/relationships/hyperlink" Target="polymarket-evidence/2026-09-09/mvp-validation.json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ttps://docs.polymarket.us/api-reference/introduction" TargetMode="External"/><Relationship Id="rId36" Type="http://schemas.openxmlformats.org/officeDocument/2006/relationships/hyperlink" Target="https://docs.polymarket.us/api-reference/markets/get-market-bbo" TargetMode="External"/><Relationship Id="rId38" Type="http://schemas.openxmlformats.org/officeDocument/2006/relationships/hyperlink" Target="https://docs.polymarket.us/api-reference/markets/get-market-book" TargetMode="External"/><Relationship Id="rId47" Type="http://schemas.openxmlformats.org/officeDocument/2006/relationships/hyperlink" Target="https://docs.polymarket.us/api-reference/markets/get-market-settlement" TargetMode="External"/><Relationship Id="rId33" Type="http://schemas.openxmlformats.org/officeDocument/2006/relationships/hyperlink" Target="https://docs.polymarket.us/api-reference/markets/get-markets" TargetMode="External"/><Relationship Id="rId41" Type="http://schemas.openxmlformats.org/officeDocument/2006/relationships/hyperlink" Target="https://docs.polymarket.us/api-reference/price-history/get-price-history" TargetMode="External"/><Relationship Id="rId57" Type="http://schemas.openxmlformats.org/officeDocument/2006/relationships/hyperlink" Target="https://docs.polymarket.us/api-reference/rate-limits" TargetMode="External"/><Relationship Id="rId59" Type="http://schemas.openxmlformats.org/officeDocument/2006/relationships/hyperlink" Target="https://docs.polymarket.us/api-reference/websocket/markets" TargetMode="External"/><Relationship Id="rId80" Type="http://schemas.openxmlformats.org/officeDocument/2006/relationships/hyperlink" Target="https://docs.polymarket.us/data-guide/onboarding" TargetMode="External"/><Relationship Id="rId61" Type="http://schemas.openxmlformats.org/officeDocument/2006/relationships/hyperlink" Target="https://docs.polymarket.us/data-guide/overview" TargetMode="External"/><Relationship Id="rId84" Type="http://schemas.openxmlformats.org/officeDocument/2006/relationships/hyperlink" Target="https://docs.polymarket.us/fees" TargetMode="External"/><Relationship Id="rId52" Type="http://schemas.openxmlformats.org/officeDocument/2006/relationships/hyperlink" Target="https://docs.polymarket.us/llms.txt" TargetMode="External"/><Relationship Id="rId50" Type="http://schemas.openxmlformats.org/officeDocument/2006/relationships/hyperlink" Target="https://news.polymarket.com/about" TargetMode="External"/><Relationship Id="rId82" Type="http://schemas.openxmlformats.org/officeDocument/2006/relationships/hyperlink" Target="https://news.polymarket.com/p/introducing-polymarket-institutional" TargetMode="External"/><Relationship Id="rId54" Type="http://schemas.openxmlformats.org/officeDocument/2006/relationships/hyperlink" Target="https://news.polymarket.com/p/new-polymarket-tools-for-journalists" TargetMode="External"/><Relationship Id="rId30" Type="http://schemas.openxmlformats.org/officeDocument/2006/relationships/hyperlink" Target="https://polymarket.us/event/usfed-fomc-2026-09-16" TargetMode="External"/><Relationship Id="rId77" Type="http://schemas.openxmlformats.org/officeDocument/2006/relationships/hyperlink" Target="https://polymarket.us/tos" TargetMode="External"/><Relationship Id="rId78" Type="http://schemas.openxmlformats.org/officeDocument/2006/relationships/hyperlink" Target="mailto:data@polymarket.us" TargetMode="External"/><Relationship Id="rId19" Type="http://schemas.openxmlformats.org/officeDocument/2006/relationships/hyperlink" Target="polymarket-evidence/2026-09-08/manifest.json" TargetMode="External"/><Relationship Id="rId74" Type="http://schemas.openxmlformats.org/officeDocument/2006/relationships/hyperlink" Target="polymarket-evidence/2026-09-08/screenshots.json" TargetMode="External"/><Relationship Id="rId66" Type="http://schemas.openxmlformats.org/officeDocument/2006/relationships/hyperlink" Target="polymarket-evidence/2026-09-09/mvp-market.json" TargetMode="External"/><Relationship Id="rId64" Type="http://schemas.openxmlformats.org/officeDocument/2006/relationships/hyperlink" Target="polymarket-evidence/2026-09-09/mvp-valid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2026-09-09T02:36:18Z</dcterms:created>
  <dcterms:modified xsi:type="dcterms:W3CDTF">2026-09-09T02:36:18Z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