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0295C" w14:textId="77777777" w:rsidR="005F7FCB" w:rsidRDefault="00000000">
      <w:pPr>
        <w:jc w:val="center"/>
        <w:rPr>
          <w:b/>
        </w:rPr>
      </w:pPr>
      <w:r>
        <w:rPr>
          <w:b/>
        </w:rPr>
        <w:t>Brainstorm Sheet _ 2024 Winter Semester</w:t>
      </w:r>
    </w:p>
    <w:p w14:paraId="08DF9933" w14:textId="77777777" w:rsidR="005F7FCB" w:rsidRDefault="00000000">
      <w:pPr>
        <w:jc w:val="center"/>
        <w:rPr>
          <w:b/>
        </w:rPr>
      </w:pPr>
      <w:r>
        <w:rPr>
          <w:b/>
        </w:rPr>
        <w:t>Essay 1</w:t>
      </w:r>
    </w:p>
    <w:p w14:paraId="0504E6CA" w14:textId="77777777" w:rsidR="005F7FCB" w:rsidRDefault="00000000">
      <w:pPr>
        <w:rPr>
          <w:b/>
        </w:rPr>
      </w:pPr>
      <w:bookmarkStart w:id="0" w:name="_heading=h.gjdgxs" w:colFirst="0" w:colLast="0"/>
      <w:bookmarkEnd w:id="0"/>
      <w:r>
        <w:rPr>
          <w:b/>
        </w:rPr>
        <w:t xml:space="preserve">Theme: Personal Experiences / Opinions </w:t>
      </w:r>
    </w:p>
    <w:p w14:paraId="28167BC5" w14:textId="58C7E8CF" w:rsidR="005F7FCB" w:rsidRDefault="00000000">
      <w:r>
        <w:t xml:space="preserve">Your topic: </w:t>
      </w:r>
      <w:r w:rsidR="007E2EEB" w:rsidRPr="007E2EEB">
        <w:t>Three ways to get away from worries</w:t>
      </w:r>
    </w:p>
    <w:p w14:paraId="01970ABD" w14:textId="4CF239A6" w:rsidR="005F7FCB" w:rsidRDefault="00000000">
      <w:proofErr w:type="gramStart"/>
      <w:r>
        <w:t>title :</w:t>
      </w:r>
      <w:proofErr w:type="gramEnd"/>
      <w:r w:rsidR="000E4B64">
        <w:rPr>
          <w:rFonts w:hint="eastAsia"/>
        </w:rPr>
        <w:t xml:space="preserve"> </w:t>
      </w:r>
      <w:r w:rsidR="000E4B64" w:rsidRPr="000E4B64">
        <w:t>Letting Go of Worry</w:t>
      </w:r>
    </w:p>
    <w:tbl>
      <w:tblPr>
        <w:tblStyle w:val="10"/>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2955"/>
        <w:gridCol w:w="2835"/>
        <w:gridCol w:w="2976"/>
      </w:tblGrid>
      <w:tr w:rsidR="005F7FCB" w14:paraId="5B3A0210" w14:textId="77777777">
        <w:trPr>
          <w:trHeight w:val="2964"/>
        </w:trPr>
        <w:tc>
          <w:tcPr>
            <w:tcW w:w="1435" w:type="dxa"/>
            <w:shd w:val="clear" w:color="auto" w:fill="BFBFBF"/>
            <w:vAlign w:val="center"/>
          </w:tcPr>
          <w:p w14:paraId="1A83A3CB" w14:textId="77777777" w:rsidR="005F7FCB" w:rsidRDefault="00000000">
            <w:pPr>
              <w:rPr>
                <w:b/>
              </w:rPr>
            </w:pPr>
            <w:r>
              <w:rPr>
                <w:b/>
              </w:rPr>
              <w:t xml:space="preserve">Introduction </w:t>
            </w:r>
          </w:p>
        </w:tc>
        <w:tc>
          <w:tcPr>
            <w:tcW w:w="8766" w:type="dxa"/>
            <w:gridSpan w:val="3"/>
            <w:vAlign w:val="center"/>
          </w:tcPr>
          <w:p w14:paraId="397AFD33" w14:textId="59B5F5A8" w:rsidR="007E2EEB" w:rsidRPr="00A65825" w:rsidRDefault="007E2EEB" w:rsidP="007E2EEB">
            <w:pPr>
              <w:rPr>
                <w:bCs/>
              </w:rPr>
            </w:pPr>
            <w:r w:rsidRPr="00A65825">
              <w:rPr>
                <w:bCs/>
              </w:rPr>
              <w:t xml:space="preserve">Hook: How do you get </w:t>
            </w:r>
            <w:r w:rsidRPr="00A65825">
              <w:rPr>
                <w:rFonts w:hint="eastAsia"/>
                <w:bCs/>
              </w:rPr>
              <w:t>away from</w:t>
            </w:r>
            <w:r w:rsidRPr="00A65825">
              <w:rPr>
                <w:bCs/>
              </w:rPr>
              <w:t xml:space="preserve"> worries?</w:t>
            </w:r>
          </w:p>
          <w:p w14:paraId="3E5066D8" w14:textId="77777777" w:rsidR="007E2EEB" w:rsidRPr="00A65825" w:rsidRDefault="007E2EEB" w:rsidP="007E2EEB">
            <w:pPr>
              <w:rPr>
                <w:bCs/>
              </w:rPr>
            </w:pPr>
          </w:p>
          <w:p w14:paraId="2D8633BA" w14:textId="77777777" w:rsidR="007E2EEB" w:rsidRPr="00A65825" w:rsidRDefault="007E2EEB" w:rsidP="007E2EEB">
            <w:pPr>
              <w:rPr>
                <w:bCs/>
              </w:rPr>
            </w:pPr>
            <w:r w:rsidRPr="00A65825">
              <w:rPr>
                <w:bCs/>
              </w:rPr>
              <w:t xml:space="preserve">Connecting sentence: </w:t>
            </w:r>
          </w:p>
          <w:p w14:paraId="107B3672" w14:textId="77777777" w:rsidR="007E2EEB" w:rsidRPr="00A65825" w:rsidRDefault="007E2EEB" w:rsidP="007E2EEB">
            <w:pPr>
              <w:rPr>
                <w:bCs/>
              </w:rPr>
            </w:pPr>
            <w:r w:rsidRPr="00A65825">
              <w:rPr>
                <w:bCs/>
              </w:rPr>
              <w:t>In life, we face various types of worries, such as concerns about an uncertain future or personal relationships. While small concerns, like deciding what to eat for lunch, are often resolved quickly, bigger worries—like those about the future or human relationships—can disrupt our lives and even lead to insomnia. To break free from these persistent worries, we often need a specific trigger.</w:t>
            </w:r>
          </w:p>
          <w:p w14:paraId="61E47F04" w14:textId="77777777" w:rsidR="007E2EEB" w:rsidRPr="00A65825" w:rsidRDefault="007E2EEB" w:rsidP="007E2EEB">
            <w:pPr>
              <w:rPr>
                <w:bCs/>
              </w:rPr>
            </w:pPr>
          </w:p>
          <w:p w14:paraId="1CF6CDF6" w14:textId="77777777" w:rsidR="005F7FCB" w:rsidRPr="00A65825" w:rsidRDefault="007E2EEB">
            <w:pPr>
              <w:rPr>
                <w:bCs/>
              </w:rPr>
            </w:pPr>
            <w:r w:rsidRPr="00A65825">
              <w:rPr>
                <w:bCs/>
              </w:rPr>
              <w:t>Thesis statement: In this essay, I would like to share three effective methods I personally use to shake off my worries.</w:t>
            </w:r>
          </w:p>
          <w:p w14:paraId="45CCC1F7" w14:textId="53EE3F58" w:rsidR="007E2EEB" w:rsidRPr="007E2EEB" w:rsidRDefault="007E2EEB">
            <w:pPr>
              <w:rPr>
                <w:b/>
              </w:rPr>
            </w:pPr>
          </w:p>
        </w:tc>
      </w:tr>
      <w:tr w:rsidR="005F7FCB" w14:paraId="0F3A48D1" w14:textId="77777777">
        <w:tc>
          <w:tcPr>
            <w:tcW w:w="1435" w:type="dxa"/>
            <w:vMerge w:val="restart"/>
            <w:shd w:val="clear" w:color="auto" w:fill="BFBFBF"/>
            <w:vAlign w:val="center"/>
          </w:tcPr>
          <w:p w14:paraId="5B6DF7C7" w14:textId="77777777" w:rsidR="005F7FCB" w:rsidRDefault="00000000">
            <w:pPr>
              <w:rPr>
                <w:b/>
              </w:rPr>
            </w:pPr>
            <w:r>
              <w:rPr>
                <w:b/>
              </w:rPr>
              <w:t>Paragraph 1</w:t>
            </w:r>
          </w:p>
        </w:tc>
        <w:tc>
          <w:tcPr>
            <w:tcW w:w="2955" w:type="dxa"/>
            <w:shd w:val="clear" w:color="auto" w:fill="BFBFBF"/>
            <w:vAlign w:val="center"/>
          </w:tcPr>
          <w:p w14:paraId="24C77093" w14:textId="77777777" w:rsidR="005F7FCB" w:rsidRDefault="00000000">
            <w:pPr>
              <w:rPr>
                <w:b/>
                <w:sz w:val="20"/>
                <w:szCs w:val="20"/>
              </w:rPr>
            </w:pPr>
            <w:r>
              <w:rPr>
                <w:b/>
                <w:sz w:val="20"/>
                <w:szCs w:val="20"/>
              </w:rPr>
              <w:t xml:space="preserve">The main idea of Paragraph 1? </w:t>
            </w:r>
          </w:p>
        </w:tc>
        <w:tc>
          <w:tcPr>
            <w:tcW w:w="2835" w:type="dxa"/>
            <w:shd w:val="clear" w:color="auto" w:fill="BFBFBF"/>
            <w:vAlign w:val="center"/>
          </w:tcPr>
          <w:p w14:paraId="123684BB" w14:textId="77777777" w:rsidR="005F7FCB" w:rsidRDefault="00000000">
            <w:pPr>
              <w:rPr>
                <w:b/>
                <w:sz w:val="20"/>
                <w:szCs w:val="20"/>
              </w:rPr>
            </w:pPr>
            <w:r>
              <w:rPr>
                <w:b/>
                <w:sz w:val="20"/>
                <w:szCs w:val="20"/>
              </w:rPr>
              <w:t xml:space="preserve">Major supporting details </w:t>
            </w:r>
          </w:p>
        </w:tc>
        <w:tc>
          <w:tcPr>
            <w:tcW w:w="2976" w:type="dxa"/>
            <w:shd w:val="clear" w:color="auto" w:fill="BFBFBF"/>
            <w:vAlign w:val="center"/>
          </w:tcPr>
          <w:p w14:paraId="508EBECB" w14:textId="77777777" w:rsidR="005F7FCB" w:rsidRDefault="00000000">
            <w:pPr>
              <w:rPr>
                <w:b/>
                <w:sz w:val="20"/>
                <w:szCs w:val="20"/>
              </w:rPr>
            </w:pPr>
            <w:r>
              <w:rPr>
                <w:b/>
                <w:sz w:val="20"/>
                <w:szCs w:val="20"/>
              </w:rPr>
              <w:t xml:space="preserve">Minor Supporting details </w:t>
            </w:r>
          </w:p>
        </w:tc>
      </w:tr>
      <w:tr w:rsidR="005F7FCB" w14:paraId="45026B55" w14:textId="77777777">
        <w:trPr>
          <w:trHeight w:val="1021"/>
        </w:trPr>
        <w:tc>
          <w:tcPr>
            <w:tcW w:w="1435" w:type="dxa"/>
            <w:vMerge/>
            <w:shd w:val="clear" w:color="auto" w:fill="BFBFBF"/>
            <w:vAlign w:val="center"/>
          </w:tcPr>
          <w:p w14:paraId="4A082FF3" w14:textId="77777777" w:rsidR="005F7FCB" w:rsidRDefault="005F7FCB">
            <w:pPr>
              <w:widowControl w:val="0"/>
              <w:pBdr>
                <w:top w:val="nil"/>
                <w:left w:val="nil"/>
                <w:bottom w:val="nil"/>
                <w:right w:val="nil"/>
                <w:between w:val="nil"/>
              </w:pBdr>
              <w:spacing w:line="276" w:lineRule="auto"/>
              <w:rPr>
                <w:b/>
                <w:sz w:val="20"/>
                <w:szCs w:val="20"/>
              </w:rPr>
            </w:pPr>
          </w:p>
        </w:tc>
        <w:tc>
          <w:tcPr>
            <w:tcW w:w="2955" w:type="dxa"/>
            <w:vAlign w:val="center"/>
          </w:tcPr>
          <w:p w14:paraId="372455B2" w14:textId="3F0D49ED" w:rsidR="005F7FCB" w:rsidRDefault="00EC43DA">
            <w:pPr>
              <w:rPr>
                <w:sz w:val="20"/>
                <w:szCs w:val="20"/>
              </w:rPr>
            </w:pPr>
            <w:r w:rsidRPr="00EC43DA">
              <w:rPr>
                <w:sz w:val="20"/>
                <w:szCs w:val="20"/>
              </w:rPr>
              <w:t>Intentionally focus on something else.</w:t>
            </w:r>
          </w:p>
        </w:tc>
        <w:tc>
          <w:tcPr>
            <w:tcW w:w="2835" w:type="dxa"/>
            <w:vAlign w:val="center"/>
          </w:tcPr>
          <w:p w14:paraId="07F84E08" w14:textId="0C8A0EAB" w:rsidR="005F7FCB" w:rsidRDefault="00EC43DA">
            <w:pPr>
              <w:rPr>
                <w:sz w:val="20"/>
                <w:szCs w:val="20"/>
              </w:rPr>
            </w:pPr>
            <w:r w:rsidRPr="00EC43DA">
              <w:rPr>
                <w:sz w:val="20"/>
                <w:szCs w:val="20"/>
              </w:rPr>
              <w:t>Since the human mind cannot focus on two thoughts at once, intentionally shifting to another topic is an effective way to escape from worries.</w:t>
            </w:r>
          </w:p>
        </w:tc>
        <w:tc>
          <w:tcPr>
            <w:tcW w:w="2976" w:type="dxa"/>
            <w:vAlign w:val="center"/>
          </w:tcPr>
          <w:p w14:paraId="0B34FDE5" w14:textId="1C486A59" w:rsidR="005F7FCB" w:rsidRPr="00EC43DA" w:rsidRDefault="00EC43DA" w:rsidP="00EC43DA">
            <w:pPr>
              <w:rPr>
                <w:sz w:val="20"/>
                <w:szCs w:val="20"/>
              </w:rPr>
            </w:pPr>
            <w:r w:rsidRPr="00EC43DA">
              <w:rPr>
                <w:rFonts w:hint="eastAsia"/>
                <w:sz w:val="20"/>
                <w:szCs w:val="20"/>
              </w:rPr>
              <w:t>-</w:t>
            </w:r>
            <w:r>
              <w:rPr>
                <w:sz w:val="20"/>
                <w:szCs w:val="20"/>
              </w:rPr>
              <w:t xml:space="preserve"> </w:t>
            </w:r>
            <w:r w:rsidRPr="00EC43DA">
              <w:rPr>
                <w:sz w:val="20"/>
                <w:szCs w:val="20"/>
              </w:rPr>
              <w:t>Recall the lyrics of your favorite song and sing along.</w:t>
            </w:r>
          </w:p>
          <w:p w14:paraId="5BD63D81" w14:textId="62CD3DC5" w:rsidR="00EC43DA" w:rsidRDefault="00EC43DA">
            <w:pPr>
              <w:rPr>
                <w:sz w:val="20"/>
                <w:szCs w:val="20"/>
              </w:rPr>
            </w:pPr>
            <w:r>
              <w:rPr>
                <w:rFonts w:hint="eastAsia"/>
                <w:sz w:val="20"/>
                <w:szCs w:val="20"/>
              </w:rPr>
              <w:t xml:space="preserve">- </w:t>
            </w:r>
            <w:r w:rsidRPr="00EC43DA">
              <w:rPr>
                <w:sz w:val="20"/>
                <w:szCs w:val="20"/>
              </w:rPr>
              <w:t>Plan simple, routine tasks like mopping the floor or doing the laundry.</w:t>
            </w:r>
          </w:p>
        </w:tc>
      </w:tr>
      <w:tr w:rsidR="005F7FCB" w14:paraId="61EFD022" w14:textId="77777777">
        <w:trPr>
          <w:trHeight w:val="239"/>
        </w:trPr>
        <w:tc>
          <w:tcPr>
            <w:tcW w:w="1435" w:type="dxa"/>
            <w:vMerge w:val="restart"/>
            <w:shd w:val="clear" w:color="auto" w:fill="BFBFBF"/>
            <w:vAlign w:val="center"/>
          </w:tcPr>
          <w:p w14:paraId="08DC842F" w14:textId="77777777" w:rsidR="005F7FCB" w:rsidRDefault="00000000">
            <w:pPr>
              <w:rPr>
                <w:b/>
              </w:rPr>
            </w:pPr>
            <w:r>
              <w:rPr>
                <w:b/>
              </w:rPr>
              <w:t>Paragraph 2</w:t>
            </w:r>
          </w:p>
        </w:tc>
        <w:tc>
          <w:tcPr>
            <w:tcW w:w="2955" w:type="dxa"/>
            <w:shd w:val="clear" w:color="auto" w:fill="BFBFBF"/>
            <w:vAlign w:val="center"/>
          </w:tcPr>
          <w:p w14:paraId="0EC7AC8F" w14:textId="77777777" w:rsidR="005F7FCB" w:rsidRDefault="00000000">
            <w:pPr>
              <w:rPr>
                <w:b/>
                <w:sz w:val="20"/>
                <w:szCs w:val="20"/>
              </w:rPr>
            </w:pPr>
            <w:r>
              <w:rPr>
                <w:b/>
                <w:sz w:val="20"/>
                <w:szCs w:val="20"/>
              </w:rPr>
              <w:t xml:space="preserve">The main idea of Paragraph 2? </w:t>
            </w:r>
          </w:p>
        </w:tc>
        <w:tc>
          <w:tcPr>
            <w:tcW w:w="2835" w:type="dxa"/>
            <w:shd w:val="clear" w:color="auto" w:fill="BFBFBF"/>
            <w:vAlign w:val="center"/>
          </w:tcPr>
          <w:p w14:paraId="1D33A73E" w14:textId="77777777" w:rsidR="005F7FCB" w:rsidRDefault="00000000">
            <w:pPr>
              <w:rPr>
                <w:b/>
                <w:sz w:val="20"/>
                <w:szCs w:val="20"/>
              </w:rPr>
            </w:pPr>
            <w:r>
              <w:rPr>
                <w:b/>
                <w:sz w:val="20"/>
                <w:szCs w:val="20"/>
              </w:rPr>
              <w:t xml:space="preserve">Major supporting details </w:t>
            </w:r>
          </w:p>
        </w:tc>
        <w:tc>
          <w:tcPr>
            <w:tcW w:w="2976" w:type="dxa"/>
            <w:shd w:val="clear" w:color="auto" w:fill="BFBFBF"/>
            <w:vAlign w:val="center"/>
          </w:tcPr>
          <w:p w14:paraId="61A3BF53" w14:textId="77777777" w:rsidR="005F7FCB" w:rsidRDefault="00000000">
            <w:pPr>
              <w:rPr>
                <w:b/>
                <w:sz w:val="20"/>
                <w:szCs w:val="20"/>
              </w:rPr>
            </w:pPr>
            <w:r>
              <w:rPr>
                <w:b/>
                <w:sz w:val="20"/>
                <w:szCs w:val="20"/>
              </w:rPr>
              <w:t xml:space="preserve">Minor Supporting details </w:t>
            </w:r>
          </w:p>
        </w:tc>
      </w:tr>
      <w:tr w:rsidR="005F7FCB" w14:paraId="41463746" w14:textId="77777777">
        <w:trPr>
          <w:trHeight w:val="1010"/>
        </w:trPr>
        <w:tc>
          <w:tcPr>
            <w:tcW w:w="1435" w:type="dxa"/>
            <w:vMerge/>
            <w:shd w:val="clear" w:color="auto" w:fill="BFBFBF"/>
            <w:vAlign w:val="center"/>
          </w:tcPr>
          <w:p w14:paraId="4810814B" w14:textId="77777777" w:rsidR="005F7FCB" w:rsidRDefault="005F7FCB">
            <w:pPr>
              <w:widowControl w:val="0"/>
              <w:pBdr>
                <w:top w:val="nil"/>
                <w:left w:val="nil"/>
                <w:bottom w:val="nil"/>
                <w:right w:val="nil"/>
                <w:between w:val="nil"/>
              </w:pBdr>
              <w:spacing w:line="276" w:lineRule="auto"/>
              <w:rPr>
                <w:b/>
                <w:sz w:val="20"/>
                <w:szCs w:val="20"/>
              </w:rPr>
            </w:pPr>
          </w:p>
        </w:tc>
        <w:tc>
          <w:tcPr>
            <w:tcW w:w="2955" w:type="dxa"/>
            <w:vAlign w:val="center"/>
          </w:tcPr>
          <w:p w14:paraId="3C3CE506" w14:textId="4AC8C380" w:rsidR="005F7FCB" w:rsidRDefault="00EC43DA">
            <w:pPr>
              <w:rPr>
                <w:sz w:val="20"/>
                <w:szCs w:val="20"/>
              </w:rPr>
            </w:pPr>
            <w:r w:rsidRPr="00EC43DA">
              <w:rPr>
                <w:sz w:val="20"/>
                <w:szCs w:val="20"/>
              </w:rPr>
              <w:t>Observe your surroundings and the people around you.</w:t>
            </w:r>
          </w:p>
        </w:tc>
        <w:tc>
          <w:tcPr>
            <w:tcW w:w="2835" w:type="dxa"/>
            <w:vAlign w:val="center"/>
          </w:tcPr>
          <w:p w14:paraId="072AFBAA" w14:textId="7EB4CFCC" w:rsidR="005F7FCB" w:rsidRDefault="00EC43DA">
            <w:pPr>
              <w:rPr>
                <w:sz w:val="20"/>
                <w:szCs w:val="20"/>
              </w:rPr>
            </w:pPr>
            <w:r w:rsidRPr="00EC43DA">
              <w:rPr>
                <w:sz w:val="20"/>
                <w:szCs w:val="20"/>
              </w:rPr>
              <w:t>Observing your environment allows your brain to respond to external stimuli instead of focusing on your worries, weakening the intensity of those concerns.</w:t>
            </w:r>
          </w:p>
        </w:tc>
        <w:tc>
          <w:tcPr>
            <w:tcW w:w="2976" w:type="dxa"/>
            <w:vAlign w:val="center"/>
          </w:tcPr>
          <w:p w14:paraId="75FB8680" w14:textId="77777777" w:rsidR="005F7FCB" w:rsidRDefault="00EC43DA">
            <w:pPr>
              <w:rPr>
                <w:sz w:val="20"/>
                <w:szCs w:val="20"/>
              </w:rPr>
            </w:pPr>
            <w:r>
              <w:rPr>
                <w:rFonts w:hint="eastAsia"/>
                <w:sz w:val="20"/>
                <w:szCs w:val="20"/>
              </w:rPr>
              <w:t xml:space="preserve">- </w:t>
            </w:r>
            <w:r w:rsidRPr="00EC43DA">
              <w:rPr>
                <w:sz w:val="20"/>
                <w:szCs w:val="20"/>
              </w:rPr>
              <w:t>Taking a walk in the park and simply looking at the trees or sky can lighten your mood. For example, noticing the rustling of leaves or the chirping of birds helps you focus on the present moment.</w:t>
            </w:r>
          </w:p>
          <w:p w14:paraId="17054C20" w14:textId="691A61D2" w:rsidR="00EC43DA" w:rsidRDefault="00EC43DA">
            <w:pPr>
              <w:rPr>
                <w:sz w:val="20"/>
                <w:szCs w:val="20"/>
              </w:rPr>
            </w:pPr>
            <w:r>
              <w:rPr>
                <w:rFonts w:hint="eastAsia"/>
                <w:sz w:val="20"/>
                <w:szCs w:val="20"/>
              </w:rPr>
              <w:t xml:space="preserve">- </w:t>
            </w:r>
            <w:r w:rsidRPr="00EC43DA">
              <w:rPr>
                <w:sz w:val="20"/>
                <w:szCs w:val="20"/>
              </w:rPr>
              <w:t>Watching people go about their daily lives in a café or a plaza can make your own worries seem smaller in comparison.</w:t>
            </w:r>
          </w:p>
        </w:tc>
      </w:tr>
      <w:tr w:rsidR="005F7FCB" w14:paraId="230868E6" w14:textId="77777777">
        <w:tc>
          <w:tcPr>
            <w:tcW w:w="1435" w:type="dxa"/>
            <w:vMerge w:val="restart"/>
            <w:shd w:val="clear" w:color="auto" w:fill="BFBFBF"/>
            <w:vAlign w:val="center"/>
          </w:tcPr>
          <w:p w14:paraId="3DC3557E" w14:textId="77777777" w:rsidR="005F7FCB" w:rsidRDefault="00000000">
            <w:pPr>
              <w:rPr>
                <w:b/>
              </w:rPr>
            </w:pPr>
            <w:r>
              <w:rPr>
                <w:b/>
              </w:rPr>
              <w:t>Paragraph 3</w:t>
            </w:r>
          </w:p>
        </w:tc>
        <w:tc>
          <w:tcPr>
            <w:tcW w:w="2955" w:type="dxa"/>
            <w:shd w:val="clear" w:color="auto" w:fill="BFBFBF"/>
            <w:vAlign w:val="center"/>
          </w:tcPr>
          <w:p w14:paraId="09B38D2E" w14:textId="77777777" w:rsidR="005F7FCB" w:rsidRDefault="00000000">
            <w:pPr>
              <w:rPr>
                <w:b/>
                <w:sz w:val="20"/>
                <w:szCs w:val="20"/>
              </w:rPr>
            </w:pPr>
            <w:r>
              <w:rPr>
                <w:b/>
                <w:sz w:val="20"/>
                <w:szCs w:val="20"/>
              </w:rPr>
              <w:t>The main idea of Paragraph 3?</w:t>
            </w:r>
          </w:p>
        </w:tc>
        <w:tc>
          <w:tcPr>
            <w:tcW w:w="2835" w:type="dxa"/>
            <w:shd w:val="clear" w:color="auto" w:fill="BFBFBF"/>
            <w:vAlign w:val="center"/>
          </w:tcPr>
          <w:p w14:paraId="483BDF59" w14:textId="77777777" w:rsidR="005F7FCB" w:rsidRDefault="00000000">
            <w:pPr>
              <w:rPr>
                <w:b/>
                <w:sz w:val="20"/>
                <w:szCs w:val="20"/>
              </w:rPr>
            </w:pPr>
            <w:r>
              <w:rPr>
                <w:b/>
                <w:sz w:val="20"/>
                <w:szCs w:val="20"/>
              </w:rPr>
              <w:t xml:space="preserve">Major supporting details </w:t>
            </w:r>
          </w:p>
        </w:tc>
        <w:tc>
          <w:tcPr>
            <w:tcW w:w="2976" w:type="dxa"/>
            <w:shd w:val="clear" w:color="auto" w:fill="BFBFBF"/>
            <w:vAlign w:val="center"/>
          </w:tcPr>
          <w:p w14:paraId="3BF437AB" w14:textId="77777777" w:rsidR="005F7FCB" w:rsidRDefault="00000000">
            <w:pPr>
              <w:rPr>
                <w:b/>
                <w:sz w:val="20"/>
                <w:szCs w:val="20"/>
              </w:rPr>
            </w:pPr>
            <w:r>
              <w:rPr>
                <w:b/>
                <w:sz w:val="20"/>
                <w:szCs w:val="20"/>
              </w:rPr>
              <w:t xml:space="preserve">Minor Supporting details </w:t>
            </w:r>
          </w:p>
        </w:tc>
      </w:tr>
      <w:tr w:rsidR="005F7FCB" w14:paraId="6EF8D0F5" w14:textId="77777777">
        <w:trPr>
          <w:trHeight w:val="511"/>
        </w:trPr>
        <w:tc>
          <w:tcPr>
            <w:tcW w:w="1435" w:type="dxa"/>
            <w:vMerge/>
            <w:shd w:val="clear" w:color="auto" w:fill="BFBFBF"/>
            <w:vAlign w:val="center"/>
          </w:tcPr>
          <w:p w14:paraId="14AD07DD" w14:textId="77777777" w:rsidR="005F7FCB" w:rsidRDefault="005F7FCB">
            <w:pPr>
              <w:widowControl w:val="0"/>
              <w:pBdr>
                <w:top w:val="nil"/>
                <w:left w:val="nil"/>
                <w:bottom w:val="nil"/>
                <w:right w:val="nil"/>
                <w:between w:val="nil"/>
              </w:pBdr>
              <w:spacing w:line="276" w:lineRule="auto"/>
              <w:rPr>
                <w:b/>
                <w:sz w:val="20"/>
                <w:szCs w:val="20"/>
              </w:rPr>
            </w:pPr>
          </w:p>
        </w:tc>
        <w:tc>
          <w:tcPr>
            <w:tcW w:w="2955" w:type="dxa"/>
            <w:vAlign w:val="center"/>
          </w:tcPr>
          <w:p w14:paraId="4D1367A0" w14:textId="7FD39A65" w:rsidR="005F7FCB" w:rsidRDefault="00EC43DA">
            <w:pPr>
              <w:rPr>
                <w:sz w:val="20"/>
                <w:szCs w:val="20"/>
              </w:rPr>
            </w:pPr>
            <w:r w:rsidRPr="00EC43DA">
              <w:rPr>
                <w:sz w:val="20"/>
                <w:szCs w:val="20"/>
              </w:rPr>
              <w:t>Create a concrete plan to solve your worries.</w:t>
            </w:r>
          </w:p>
        </w:tc>
        <w:tc>
          <w:tcPr>
            <w:tcW w:w="2835" w:type="dxa"/>
            <w:vAlign w:val="center"/>
          </w:tcPr>
          <w:p w14:paraId="7C7B43C2" w14:textId="780B466F" w:rsidR="005F7FCB" w:rsidRPr="00EC43DA" w:rsidRDefault="00EC43DA">
            <w:pPr>
              <w:rPr>
                <w:sz w:val="20"/>
                <w:szCs w:val="20"/>
              </w:rPr>
            </w:pPr>
            <w:r>
              <w:rPr>
                <w:rFonts w:hint="eastAsia"/>
                <w:sz w:val="20"/>
                <w:szCs w:val="20"/>
              </w:rPr>
              <w:t>I</w:t>
            </w:r>
            <w:r w:rsidRPr="00EC43DA">
              <w:rPr>
                <w:sz w:val="20"/>
                <w:szCs w:val="20"/>
              </w:rPr>
              <w:t>nstead of vaguely fearing the problem, breaking it down into realistic steps and creating a plan can help reduce worry.</w:t>
            </w:r>
          </w:p>
        </w:tc>
        <w:tc>
          <w:tcPr>
            <w:tcW w:w="2976" w:type="dxa"/>
            <w:vAlign w:val="center"/>
          </w:tcPr>
          <w:p w14:paraId="5DE6CEE8" w14:textId="3B918167" w:rsidR="00EC43DA" w:rsidRPr="00EC43DA" w:rsidRDefault="00EC43DA" w:rsidP="00EC43DA">
            <w:pPr>
              <w:rPr>
                <w:sz w:val="20"/>
                <w:szCs w:val="20"/>
              </w:rPr>
            </w:pPr>
            <w:r w:rsidRPr="00EC43DA">
              <w:rPr>
                <w:rFonts w:hint="eastAsia"/>
                <w:sz w:val="20"/>
                <w:szCs w:val="20"/>
              </w:rPr>
              <w:t>-</w:t>
            </w:r>
            <w:r>
              <w:rPr>
                <w:sz w:val="20"/>
                <w:szCs w:val="20"/>
              </w:rPr>
              <w:t xml:space="preserve"> </w:t>
            </w:r>
            <w:r w:rsidRPr="00EC43DA">
              <w:rPr>
                <w:sz w:val="20"/>
                <w:szCs w:val="20"/>
              </w:rPr>
              <w:t>Break the issue into smaller steps and set specific goals. For example, if you’re worried about an important exam, create a realistic plan by assigning specific subjects and study hours for each day.</w:t>
            </w:r>
          </w:p>
          <w:p w14:paraId="1FE35321" w14:textId="6BF6E6F4" w:rsidR="005F7FCB" w:rsidRDefault="00EC43DA" w:rsidP="00EC43DA">
            <w:pPr>
              <w:rPr>
                <w:sz w:val="20"/>
                <w:szCs w:val="20"/>
              </w:rPr>
            </w:pPr>
            <w:r>
              <w:rPr>
                <w:rFonts w:hint="eastAsia"/>
                <w:sz w:val="20"/>
                <w:szCs w:val="20"/>
              </w:rPr>
              <w:t xml:space="preserve">- </w:t>
            </w:r>
            <w:r w:rsidRPr="00EC43DA">
              <w:rPr>
                <w:sz w:val="20"/>
                <w:szCs w:val="20"/>
              </w:rPr>
              <w:t xml:space="preserve">Keep track of your progress by recording completed tasks in a checklist. This sense of </w:t>
            </w:r>
            <w:r w:rsidRPr="00EC43DA">
              <w:rPr>
                <w:sz w:val="20"/>
                <w:szCs w:val="20"/>
              </w:rPr>
              <w:lastRenderedPageBreak/>
              <w:t>accomplishment can help ease your worries</w:t>
            </w:r>
            <w:r>
              <w:rPr>
                <w:rFonts w:hint="eastAsia"/>
                <w:sz w:val="20"/>
                <w:szCs w:val="20"/>
              </w:rPr>
              <w:t>.</w:t>
            </w:r>
          </w:p>
        </w:tc>
      </w:tr>
      <w:tr w:rsidR="005F7FCB" w14:paraId="40C3BDD5" w14:textId="77777777">
        <w:trPr>
          <w:trHeight w:val="1809"/>
        </w:trPr>
        <w:tc>
          <w:tcPr>
            <w:tcW w:w="1435" w:type="dxa"/>
            <w:shd w:val="clear" w:color="auto" w:fill="BFBFBF"/>
            <w:vAlign w:val="center"/>
          </w:tcPr>
          <w:p w14:paraId="5A753B24" w14:textId="77777777" w:rsidR="005F7FCB" w:rsidRDefault="00000000">
            <w:pPr>
              <w:rPr>
                <w:b/>
              </w:rPr>
            </w:pPr>
            <w:r>
              <w:rPr>
                <w:b/>
              </w:rPr>
              <w:lastRenderedPageBreak/>
              <w:t xml:space="preserve">Conclusion </w:t>
            </w:r>
          </w:p>
        </w:tc>
        <w:tc>
          <w:tcPr>
            <w:tcW w:w="8766" w:type="dxa"/>
            <w:gridSpan w:val="3"/>
            <w:vAlign w:val="center"/>
          </w:tcPr>
          <w:p w14:paraId="5E6AC2E5" w14:textId="110DCE74" w:rsidR="005F7FCB" w:rsidRDefault="000E4B64" w:rsidP="000E4B64">
            <w:pPr>
              <w:rPr>
                <w:sz w:val="20"/>
                <w:szCs w:val="20"/>
              </w:rPr>
            </w:pPr>
            <w:r w:rsidRPr="000E4B64">
              <w:rPr>
                <w:sz w:val="20"/>
                <w:szCs w:val="20"/>
              </w:rPr>
              <w:t>Worries come to everyone, and once they take hold, it can be difficult to escape. Excessive worrying can lead to depression, insomnia, and a decline in quality of life. However, the ways to let go of worries can be surprisingly simple. Small actions, such as intentionally shifting your focus, observing your surroundings, or creating a realistic plan to address your concerns, can help ease your mind. The most important thing is to develop your own routine for overcoming worries, even if it isn’t one of these three methods.</w:t>
            </w:r>
            <w:r>
              <w:rPr>
                <w:rFonts w:hint="eastAsia"/>
                <w:sz w:val="20"/>
                <w:szCs w:val="20"/>
              </w:rPr>
              <w:t xml:space="preserve"> </w:t>
            </w:r>
            <w:r w:rsidRPr="000E4B64">
              <w:rPr>
                <w:sz w:val="20"/>
                <w:szCs w:val="20"/>
              </w:rPr>
              <w:t>To conclude, I would like to quote a line from Nam-Myeong Cho’s poem Worry:</w:t>
            </w:r>
            <w:r>
              <w:rPr>
                <w:rFonts w:hint="eastAsia"/>
                <w:sz w:val="20"/>
                <w:szCs w:val="20"/>
              </w:rPr>
              <w:t xml:space="preserve"> </w:t>
            </w:r>
            <w:r w:rsidRPr="000E4B64">
              <w:rPr>
                <w:rFonts w:hint="eastAsia"/>
                <w:sz w:val="20"/>
                <w:szCs w:val="20"/>
              </w:rPr>
              <w:t>“</w:t>
            </w:r>
            <w:r w:rsidRPr="000E4B64">
              <w:rPr>
                <w:sz w:val="20"/>
                <w:szCs w:val="20"/>
              </w:rPr>
              <w:t>Life is not about worrying in advance, but about living it joyfully.”</w:t>
            </w:r>
          </w:p>
        </w:tc>
      </w:tr>
    </w:tbl>
    <w:p w14:paraId="30566AC6" w14:textId="77777777" w:rsidR="005F7FCB" w:rsidRDefault="005F7FCB"/>
    <w:p w14:paraId="7E4AF1F6" w14:textId="77777777" w:rsidR="005F7FCB" w:rsidRDefault="005F7FCB"/>
    <w:sectPr w:rsidR="005F7F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20504"/>
    <w:multiLevelType w:val="hybridMultilevel"/>
    <w:tmpl w:val="A2808DFE"/>
    <w:lvl w:ilvl="0" w:tplc="42E6E430">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697621F2"/>
    <w:multiLevelType w:val="hybridMultilevel"/>
    <w:tmpl w:val="6F9ADF16"/>
    <w:lvl w:ilvl="0" w:tplc="FE968540">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554461502">
    <w:abstractNumId w:val="1"/>
  </w:num>
  <w:num w:numId="2" w16cid:durableId="604383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FCB"/>
    <w:rsid w:val="000E4B64"/>
    <w:rsid w:val="003A4E72"/>
    <w:rsid w:val="005F7FCB"/>
    <w:rsid w:val="007E2EEB"/>
    <w:rsid w:val="00904F3A"/>
    <w:rsid w:val="00A62598"/>
    <w:rsid w:val="00A65825"/>
    <w:rsid w:val="00A95061"/>
    <w:rsid w:val="00B324DD"/>
    <w:rsid w:val="00EC43DA"/>
    <w:rsid w:val="00FC7D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FF50"/>
  <w15:docId w15:val="{3BF10DDE-309D-44BE-856E-8BC2F52A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styleId="a4">
    <w:name w:val="Table Grid"/>
    <w:basedOn w:val="a1"/>
    <w:uiPriority w:val="39"/>
    <w:rsid w:val="00174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20">
    <w:name w:val="2"/>
    <w:basedOn w:val="a1"/>
    <w:pPr>
      <w:spacing w:after="0" w:line="240" w:lineRule="auto"/>
    </w:pPr>
    <w:tblPr>
      <w:tblStyleRowBandSize w:val="1"/>
      <w:tblStyleColBandSize w:val="1"/>
    </w:tblPr>
  </w:style>
  <w:style w:type="paragraph" w:styleId="a6">
    <w:name w:val="List Paragraph"/>
    <w:basedOn w:val="a"/>
    <w:uiPriority w:val="34"/>
    <w:qFormat/>
    <w:rsid w:val="009218DD"/>
    <w:pPr>
      <w:ind w:leftChars="400" w:left="800"/>
    </w:pPr>
  </w:style>
  <w:style w:type="table" w:customStyle="1" w:styleId="10">
    <w:name w:val="1"/>
    <w:basedOn w:val="a1"/>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205982">
      <w:bodyDiv w:val="1"/>
      <w:marLeft w:val="0"/>
      <w:marRight w:val="0"/>
      <w:marTop w:val="0"/>
      <w:marBottom w:val="0"/>
      <w:divBdr>
        <w:top w:val="none" w:sz="0" w:space="0" w:color="auto"/>
        <w:left w:val="none" w:sz="0" w:space="0" w:color="auto"/>
        <w:bottom w:val="none" w:sz="0" w:space="0" w:color="auto"/>
        <w:right w:val="none" w:sz="0" w:space="0" w:color="auto"/>
      </w:divBdr>
    </w:div>
    <w:div w:id="1307003791">
      <w:bodyDiv w:val="1"/>
      <w:marLeft w:val="0"/>
      <w:marRight w:val="0"/>
      <w:marTop w:val="0"/>
      <w:marBottom w:val="0"/>
      <w:divBdr>
        <w:top w:val="none" w:sz="0" w:space="0" w:color="auto"/>
        <w:left w:val="none" w:sz="0" w:space="0" w:color="auto"/>
        <w:bottom w:val="none" w:sz="0" w:space="0" w:color="auto"/>
        <w:right w:val="none" w:sz="0" w:space="0" w:color="auto"/>
      </w:divBdr>
    </w:div>
    <w:div w:id="1995836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1mJKTa+/txjMzaKMZ0Z31AygBA==">CgMxLjAyCGguZ2pkZ3hzOAByITFPQU15NTg0c1FIM08xZU1rcndhMHB3bkplNTcydzZWNw==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460</Words>
  <Characters>2625</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JanineKock</dc:creator>
  <cp:keywords/>
  <dc:description/>
  <cp:lastModifiedBy>이예린/22100531</cp:lastModifiedBy>
  <cp:revision>3</cp:revision>
  <dcterms:created xsi:type="dcterms:W3CDTF">2024-12-17T13:05:00Z</dcterms:created>
  <dcterms:modified xsi:type="dcterms:W3CDTF">2024-12-17T13:10:00Z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08b1f473-01a1-49fd-a01c-033f4edb6670</vt:lpwstr>
  </property>
</Properties>
</file>