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A843" w14:textId="1F9D43C4" w:rsidR="00AB5ED4" w:rsidRPr="007D1309" w:rsidRDefault="007D1309" w:rsidP="007D1309">
      <w:pPr>
        <w:jc w:val="center"/>
        <w:rPr>
          <w:b/>
          <w:bCs/>
          <w:sz w:val="22"/>
          <w:szCs w:val="24"/>
        </w:rPr>
      </w:pPr>
      <w:r w:rsidRPr="007D1309">
        <w:rPr>
          <w:b/>
          <w:bCs/>
          <w:sz w:val="22"/>
          <w:szCs w:val="24"/>
        </w:rPr>
        <w:t>Paper Topic Classification with Active Learning</w:t>
      </w:r>
    </w:p>
    <w:p w14:paraId="6ECBA4C8" w14:textId="12EF9ABE" w:rsidR="007D1309" w:rsidRPr="00C216DB" w:rsidRDefault="007D1309" w:rsidP="002C0CD2">
      <w:pPr>
        <w:spacing w:after="0" w:line="180" w:lineRule="auto"/>
        <w:jc w:val="right"/>
        <w:rPr>
          <w:sz w:val="18"/>
          <w:szCs w:val="20"/>
        </w:rPr>
      </w:pPr>
      <w:r w:rsidRPr="00C216DB">
        <w:rPr>
          <w:rFonts w:hint="eastAsia"/>
          <w:sz w:val="18"/>
          <w:szCs w:val="20"/>
        </w:rPr>
        <w:t>D</w:t>
      </w:r>
      <w:r w:rsidRPr="00C216DB">
        <w:rPr>
          <w:sz w:val="18"/>
          <w:szCs w:val="20"/>
        </w:rPr>
        <w:t xml:space="preserve">aehyun Cho 2020010429, </w:t>
      </w:r>
      <w:r w:rsidRPr="00C216DB">
        <w:rPr>
          <w:rFonts w:hint="eastAsia"/>
          <w:sz w:val="18"/>
          <w:szCs w:val="20"/>
        </w:rPr>
        <w:t>D</w:t>
      </w:r>
      <w:r w:rsidRPr="00C216DB">
        <w:rPr>
          <w:sz w:val="18"/>
          <w:szCs w:val="20"/>
        </w:rPr>
        <w:t>ept. of Artificial Intelligence</w:t>
      </w:r>
    </w:p>
    <w:p w14:paraId="5BBD7B49" w14:textId="39539842" w:rsidR="007D1309" w:rsidRPr="00AB443A" w:rsidRDefault="007D1309" w:rsidP="002C0CD2">
      <w:pPr>
        <w:spacing w:after="0" w:line="180" w:lineRule="auto"/>
        <w:jc w:val="right"/>
        <w:rPr>
          <w:sz w:val="18"/>
          <w:szCs w:val="20"/>
        </w:rPr>
      </w:pPr>
      <w:r w:rsidRPr="00C216DB">
        <w:rPr>
          <w:rFonts w:hint="eastAsia"/>
          <w:sz w:val="18"/>
          <w:szCs w:val="20"/>
        </w:rPr>
        <w:t>B</w:t>
      </w:r>
      <w:r w:rsidRPr="00C216DB">
        <w:rPr>
          <w:sz w:val="18"/>
          <w:szCs w:val="20"/>
        </w:rPr>
        <w:t>ayesian Machine Learning (XAI623), 2021 Fall, Project Proposal Report (Due Oct 28, 6PM)</w:t>
      </w:r>
    </w:p>
    <w:p w14:paraId="16F33BE7" w14:textId="3BE8370E" w:rsidR="007D1309" w:rsidRPr="00AD20A7" w:rsidRDefault="00AB443A" w:rsidP="002C0CD2">
      <w:pPr>
        <w:pStyle w:val="a3"/>
        <w:numPr>
          <w:ilvl w:val="0"/>
          <w:numId w:val="3"/>
        </w:numPr>
        <w:spacing w:after="0"/>
        <w:ind w:leftChars="0"/>
      </w:pPr>
      <w:r w:rsidRPr="00AD20A7">
        <w:t xml:space="preserve">Project </w:t>
      </w:r>
      <w:r w:rsidR="00225C1E">
        <w:rPr>
          <w:rFonts w:hint="eastAsia"/>
        </w:rPr>
        <w:t>P</w:t>
      </w:r>
      <w:r w:rsidR="00225C1E">
        <w:t>roposal</w:t>
      </w:r>
    </w:p>
    <w:p w14:paraId="325C6EB0" w14:textId="69C6BC12" w:rsidR="007D1309" w:rsidRPr="00AD20A7" w:rsidRDefault="00AB443A" w:rsidP="002C0CD2">
      <w:pPr>
        <w:pStyle w:val="a3"/>
        <w:numPr>
          <w:ilvl w:val="1"/>
          <w:numId w:val="4"/>
        </w:numPr>
        <w:spacing w:after="0"/>
        <w:ind w:leftChars="0"/>
      </w:pPr>
      <w:r w:rsidRPr="00AD20A7">
        <w:t>Project Goal</w:t>
      </w:r>
    </w:p>
    <w:p w14:paraId="0829E99E" w14:textId="3B198FAD" w:rsidR="00AB443A" w:rsidRPr="00AE068B" w:rsidRDefault="00AB443A" w:rsidP="00AB443A">
      <w:pPr>
        <w:ind w:left="1200"/>
        <w:rPr>
          <w:sz w:val="18"/>
          <w:szCs w:val="20"/>
        </w:rPr>
      </w:pPr>
      <w:r w:rsidRPr="00AE068B">
        <w:rPr>
          <w:sz w:val="18"/>
          <w:szCs w:val="20"/>
        </w:rPr>
        <w:t xml:space="preserve">I apply active learning </w:t>
      </w:r>
      <w:r w:rsidR="00DC70B1" w:rsidRPr="00AE068B">
        <w:rPr>
          <w:sz w:val="18"/>
          <w:szCs w:val="20"/>
        </w:rPr>
        <w:t>to A.I. subfield classification task</w:t>
      </w:r>
      <w:r w:rsidR="009F4BC7" w:rsidRPr="00AE068B">
        <w:rPr>
          <w:sz w:val="18"/>
          <w:szCs w:val="20"/>
        </w:rPr>
        <w:t xml:space="preserve"> with the following pipeline</w:t>
      </w:r>
      <w:r w:rsidR="00DC70B1" w:rsidRPr="00AE068B">
        <w:rPr>
          <w:sz w:val="18"/>
          <w:szCs w:val="20"/>
        </w:rPr>
        <w:t>.</w:t>
      </w:r>
    </w:p>
    <w:p w14:paraId="5EA9A0BC" w14:textId="5DFDA0E3" w:rsidR="009F4BC7" w:rsidRDefault="009F4BC7" w:rsidP="00AB443A">
      <w:pPr>
        <w:ind w:left="1200"/>
      </w:pPr>
      <w:r w:rsidRPr="009F4BC7">
        <w:rPr>
          <w:noProof/>
        </w:rPr>
        <w:drawing>
          <wp:inline distT="0" distB="0" distL="0" distR="0" wp14:anchorId="21629196" wp14:editId="6888317C">
            <wp:extent cx="4798337" cy="1437301"/>
            <wp:effectExtent l="0" t="0" r="2540" b="0"/>
            <wp:docPr id="16" name="그림 15">
              <a:extLst xmlns:a="http://schemas.openxmlformats.org/drawingml/2006/main">
                <a:ext uri="{FF2B5EF4-FFF2-40B4-BE49-F238E27FC236}">
                  <a16:creationId xmlns:a16="http://schemas.microsoft.com/office/drawing/2014/main" id="{09F9A8B7-8BDD-4F20-9950-0D67802F99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>
                      <a:extLst>
                        <a:ext uri="{FF2B5EF4-FFF2-40B4-BE49-F238E27FC236}">
                          <a16:creationId xmlns:a16="http://schemas.microsoft.com/office/drawing/2014/main" id="{09F9A8B7-8BDD-4F20-9950-0D67802F99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"/>
                    <a:stretch/>
                  </pic:blipFill>
                  <pic:spPr>
                    <a:xfrm>
                      <a:off x="0" y="0"/>
                      <a:ext cx="4906181" cy="14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1010" w14:textId="5B5893E5" w:rsidR="009F4BC7" w:rsidRPr="00AE068B" w:rsidRDefault="009F4BC7" w:rsidP="00AE068B">
      <w:pPr>
        <w:spacing w:line="240" w:lineRule="auto"/>
        <w:ind w:left="1200"/>
        <w:rPr>
          <w:sz w:val="18"/>
          <w:szCs w:val="20"/>
        </w:rPr>
      </w:pPr>
      <w:r w:rsidRPr="00AE068B">
        <w:rPr>
          <w:rFonts w:hint="eastAsia"/>
          <w:sz w:val="18"/>
          <w:szCs w:val="20"/>
        </w:rPr>
        <w:t>T</w:t>
      </w:r>
      <w:r w:rsidRPr="00AE068B">
        <w:rPr>
          <w:sz w:val="18"/>
          <w:szCs w:val="20"/>
        </w:rPr>
        <w:t>hrough this, I would like to learn below</w:t>
      </w:r>
    </w:p>
    <w:p w14:paraId="702EA4AF" w14:textId="7503482D" w:rsidR="009F4BC7" w:rsidRPr="00AE068B" w:rsidRDefault="009F4BC7" w:rsidP="002C0CD2">
      <w:pPr>
        <w:pStyle w:val="a3"/>
        <w:numPr>
          <w:ilvl w:val="0"/>
          <w:numId w:val="7"/>
        </w:numPr>
        <w:spacing w:after="0" w:line="240" w:lineRule="auto"/>
        <w:ind w:leftChars="0"/>
        <w:rPr>
          <w:sz w:val="18"/>
          <w:szCs w:val="20"/>
        </w:rPr>
      </w:pPr>
      <w:r w:rsidRPr="00AE068B">
        <w:rPr>
          <w:sz w:val="18"/>
          <w:szCs w:val="20"/>
        </w:rPr>
        <w:t xml:space="preserve">Proper study and application of </w:t>
      </w:r>
      <w:r w:rsidRPr="00AE068B">
        <w:rPr>
          <w:sz w:val="18"/>
          <w:szCs w:val="20"/>
          <w:u w:val="single"/>
        </w:rPr>
        <w:t>active learning</w:t>
      </w:r>
      <w:r w:rsidRPr="00AE068B">
        <w:rPr>
          <w:sz w:val="18"/>
          <w:szCs w:val="20"/>
        </w:rPr>
        <w:t xml:space="preserve"> in current pipeline</w:t>
      </w:r>
      <w:r w:rsidR="00AD20A7" w:rsidRPr="00AE068B">
        <w:rPr>
          <w:sz w:val="18"/>
          <w:szCs w:val="20"/>
        </w:rPr>
        <w:t>.</w:t>
      </w:r>
    </w:p>
    <w:p w14:paraId="3099FDE1" w14:textId="649F6446" w:rsidR="009F4BC7" w:rsidRPr="00AE068B" w:rsidRDefault="009F4BC7" w:rsidP="002C0CD2">
      <w:pPr>
        <w:pStyle w:val="a3"/>
        <w:numPr>
          <w:ilvl w:val="0"/>
          <w:numId w:val="7"/>
        </w:numPr>
        <w:spacing w:line="240" w:lineRule="auto"/>
        <w:ind w:leftChars="0"/>
        <w:rPr>
          <w:sz w:val="18"/>
          <w:szCs w:val="20"/>
        </w:rPr>
      </w:pPr>
      <w:r w:rsidRPr="00AE068B">
        <w:rPr>
          <w:rFonts w:hint="eastAsia"/>
          <w:sz w:val="18"/>
          <w:szCs w:val="20"/>
        </w:rPr>
        <w:t>U</w:t>
      </w:r>
      <w:r w:rsidRPr="00AE068B">
        <w:rPr>
          <w:sz w:val="18"/>
          <w:szCs w:val="20"/>
        </w:rPr>
        <w:t xml:space="preserve">se less data to achieve </w:t>
      </w:r>
      <w:r w:rsidR="00AD20A7" w:rsidRPr="00AE068B">
        <w:rPr>
          <w:sz w:val="18"/>
          <w:szCs w:val="20"/>
        </w:rPr>
        <w:t>high performance</w:t>
      </w:r>
    </w:p>
    <w:p w14:paraId="0EFE44FD" w14:textId="42B52D35" w:rsidR="00AB443A" w:rsidRDefault="00AB443A" w:rsidP="002C0CD2">
      <w:pPr>
        <w:pStyle w:val="a3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D</w:t>
      </w:r>
      <w:r>
        <w:t>ata Description</w:t>
      </w:r>
    </w:p>
    <w:p w14:paraId="3B942405" w14:textId="4E550840" w:rsidR="00AB443A" w:rsidRPr="00AE068B" w:rsidRDefault="00AB443A" w:rsidP="00AE068B">
      <w:pPr>
        <w:spacing w:line="240" w:lineRule="auto"/>
        <w:ind w:left="1200"/>
        <w:rPr>
          <w:sz w:val="18"/>
          <w:szCs w:val="20"/>
        </w:rPr>
      </w:pPr>
      <w:r w:rsidRPr="00AE068B">
        <w:rPr>
          <w:sz w:val="18"/>
          <w:szCs w:val="20"/>
        </w:rPr>
        <w:t xml:space="preserve">Here I use two databases – </w:t>
      </w:r>
      <w:proofErr w:type="spellStart"/>
      <w:r w:rsidRPr="00AE068B">
        <w:rPr>
          <w:b/>
          <w:bCs/>
          <w:sz w:val="18"/>
          <w:szCs w:val="20"/>
        </w:rPr>
        <w:t>paperswithcode</w:t>
      </w:r>
      <w:proofErr w:type="spellEnd"/>
      <w:r w:rsidRPr="00AE068B">
        <w:rPr>
          <w:sz w:val="18"/>
          <w:szCs w:val="20"/>
        </w:rPr>
        <w:t xml:space="preserve"> and </w:t>
      </w:r>
      <w:proofErr w:type="spellStart"/>
      <w:r w:rsidRPr="00AE068B">
        <w:rPr>
          <w:b/>
          <w:bCs/>
          <w:sz w:val="18"/>
          <w:szCs w:val="20"/>
        </w:rPr>
        <w:t>arxiv</w:t>
      </w:r>
      <w:proofErr w:type="spellEnd"/>
      <w:r w:rsidRPr="00AE068B">
        <w:rPr>
          <w:sz w:val="18"/>
          <w:szCs w:val="20"/>
        </w:rPr>
        <w:t xml:space="preserve"> – which contain paper title</w:t>
      </w:r>
      <w:r w:rsidR="00DC70B1" w:rsidRPr="00AE068B">
        <w:rPr>
          <w:sz w:val="18"/>
          <w:szCs w:val="20"/>
        </w:rPr>
        <w:t xml:space="preserve">, </w:t>
      </w:r>
      <w:r w:rsidRPr="00AE068B">
        <w:rPr>
          <w:sz w:val="18"/>
          <w:szCs w:val="20"/>
        </w:rPr>
        <w:t>abstract</w:t>
      </w:r>
      <w:r w:rsidR="00DC70B1" w:rsidRPr="00AE068B">
        <w:rPr>
          <w:sz w:val="18"/>
          <w:szCs w:val="20"/>
        </w:rPr>
        <w:t xml:space="preserve"> and the subfield in A.I. Title and abstract will be used as an input feature for the model to predict the subfield. The subfields are as follows – adversarial, audio, computer-code, computer-vision, graphs, </w:t>
      </w:r>
      <w:proofErr w:type="gramStart"/>
      <w:r w:rsidR="00DC70B1" w:rsidRPr="00AE068B">
        <w:rPr>
          <w:sz w:val="18"/>
          <w:szCs w:val="20"/>
        </w:rPr>
        <w:t>knowledge-base</w:t>
      </w:r>
      <w:proofErr w:type="gramEnd"/>
      <w:r w:rsidR="00DC70B1" w:rsidRPr="00AE068B">
        <w:rPr>
          <w:sz w:val="18"/>
          <w:szCs w:val="20"/>
        </w:rPr>
        <w:t xml:space="preserve">, medical, methodology, miscellaneous, music, natural-language, playing-games, reasoning, robots, speech and time-series. Since the </w:t>
      </w:r>
      <w:proofErr w:type="spellStart"/>
      <w:r w:rsidR="00DC70B1" w:rsidRPr="00AE068B">
        <w:rPr>
          <w:sz w:val="18"/>
          <w:szCs w:val="20"/>
        </w:rPr>
        <w:t>arxiv</w:t>
      </w:r>
      <w:proofErr w:type="spellEnd"/>
      <w:r w:rsidR="00DC70B1" w:rsidRPr="00AE068B">
        <w:rPr>
          <w:sz w:val="18"/>
          <w:szCs w:val="20"/>
        </w:rPr>
        <w:t xml:space="preserve"> dataset does not contain this detailed subfield but only tells rough </w:t>
      </w:r>
      <w:r w:rsidR="009F4BC7" w:rsidRPr="00AE068B">
        <w:rPr>
          <w:sz w:val="18"/>
          <w:szCs w:val="20"/>
        </w:rPr>
        <w:t>subfield in the computer science or statistics, this will be used as an unlabeled pool</w:t>
      </w:r>
      <w:r w:rsidR="00AD20A7" w:rsidRPr="00AE068B">
        <w:rPr>
          <w:sz w:val="18"/>
          <w:szCs w:val="20"/>
        </w:rPr>
        <w:t>.</w:t>
      </w:r>
    </w:p>
    <w:p w14:paraId="2F2A64C7" w14:textId="1EB2132E" w:rsidR="00AD20A7" w:rsidRPr="00AE068B" w:rsidRDefault="00AD20A7" w:rsidP="00AE068B">
      <w:pPr>
        <w:spacing w:line="240" w:lineRule="auto"/>
        <w:ind w:left="1200"/>
        <w:rPr>
          <w:sz w:val="18"/>
          <w:szCs w:val="20"/>
        </w:rPr>
      </w:pPr>
      <w:r w:rsidRPr="00AE068B">
        <w:rPr>
          <w:sz w:val="18"/>
          <w:szCs w:val="20"/>
        </w:rPr>
        <w:t xml:space="preserve">The </w:t>
      </w:r>
      <w:proofErr w:type="spellStart"/>
      <w:r w:rsidRPr="00AE068B">
        <w:rPr>
          <w:sz w:val="18"/>
          <w:szCs w:val="20"/>
        </w:rPr>
        <w:t>paperswithcode</w:t>
      </w:r>
      <w:proofErr w:type="spellEnd"/>
      <w:r w:rsidRPr="00AE068B">
        <w:rPr>
          <w:sz w:val="18"/>
          <w:szCs w:val="20"/>
        </w:rPr>
        <w:t xml:space="preserve"> dataset contains </w:t>
      </w:r>
      <w:r w:rsidR="00AE068B" w:rsidRPr="00AE068B">
        <w:rPr>
          <w:sz w:val="18"/>
          <w:szCs w:val="20"/>
        </w:rPr>
        <w:t xml:space="preserve">around 50k data and </w:t>
      </w:r>
      <w:proofErr w:type="spellStart"/>
      <w:r w:rsidR="00AE068B" w:rsidRPr="00AE068B">
        <w:rPr>
          <w:sz w:val="18"/>
          <w:szCs w:val="20"/>
        </w:rPr>
        <w:t>arxiv</w:t>
      </w:r>
      <w:proofErr w:type="spellEnd"/>
      <w:r w:rsidR="00AE068B" w:rsidRPr="00AE068B">
        <w:rPr>
          <w:sz w:val="18"/>
          <w:szCs w:val="20"/>
        </w:rPr>
        <w:t xml:space="preserve"> from computer science only contains 300k papers. Number of data intersecting between two databases are 19k and </w:t>
      </w:r>
      <w:proofErr w:type="spellStart"/>
      <w:r w:rsidR="00AE068B" w:rsidRPr="00AE068B">
        <w:rPr>
          <w:sz w:val="18"/>
          <w:szCs w:val="20"/>
        </w:rPr>
        <w:t>paperswithcode</w:t>
      </w:r>
      <w:proofErr w:type="spellEnd"/>
      <w:r w:rsidR="00AE068B" w:rsidRPr="00AE068B">
        <w:rPr>
          <w:sz w:val="18"/>
          <w:szCs w:val="20"/>
        </w:rPr>
        <w:t xml:space="preserve"> alone has 29k. Therefore, I plan to use 29k non-intersecting data as a labeled pool and 19k as unlabeled pool</w:t>
      </w:r>
      <w:r w:rsidR="00AE068B">
        <w:rPr>
          <w:sz w:val="18"/>
          <w:szCs w:val="20"/>
        </w:rPr>
        <w:t>.</w:t>
      </w:r>
    </w:p>
    <w:p w14:paraId="78F5E34C" w14:textId="17A74346" w:rsidR="007D1309" w:rsidRDefault="007D1309" w:rsidP="002C0CD2">
      <w:pPr>
        <w:pStyle w:val="a3"/>
        <w:numPr>
          <w:ilvl w:val="1"/>
          <w:numId w:val="4"/>
        </w:numPr>
        <w:spacing w:after="0"/>
        <w:ind w:leftChars="0"/>
      </w:pPr>
      <w:r>
        <w:t>Proposed Methods</w:t>
      </w:r>
    </w:p>
    <w:p w14:paraId="06CC8776" w14:textId="0D327102" w:rsidR="009F4BC7" w:rsidRPr="00A51389" w:rsidRDefault="00AE068B" w:rsidP="002C0CD2">
      <w:pPr>
        <w:pStyle w:val="a3"/>
        <w:numPr>
          <w:ilvl w:val="0"/>
          <w:numId w:val="8"/>
        </w:numPr>
        <w:spacing w:after="0" w:line="240" w:lineRule="auto"/>
        <w:ind w:leftChars="0"/>
        <w:rPr>
          <w:sz w:val="18"/>
          <w:szCs w:val="20"/>
        </w:rPr>
      </w:pPr>
      <w:r w:rsidRPr="00A51389">
        <w:rPr>
          <w:b/>
          <w:bCs/>
          <w:sz w:val="18"/>
          <w:szCs w:val="20"/>
        </w:rPr>
        <w:t>Models</w:t>
      </w:r>
      <w:r w:rsidR="00A51389">
        <w:rPr>
          <w:b/>
          <w:bCs/>
          <w:sz w:val="18"/>
          <w:szCs w:val="20"/>
        </w:rPr>
        <w:t>:</w:t>
      </w:r>
      <w:r w:rsidRPr="00A51389">
        <w:rPr>
          <w:sz w:val="18"/>
          <w:szCs w:val="20"/>
        </w:rPr>
        <w:t xml:space="preserve"> SVM, Forests, Recurrent networks, Attention-based networks</w:t>
      </w:r>
    </w:p>
    <w:p w14:paraId="17C2DCE0" w14:textId="63261D4F" w:rsidR="00AE068B" w:rsidRPr="00A51389" w:rsidRDefault="00AE068B" w:rsidP="002C0CD2">
      <w:pPr>
        <w:pStyle w:val="a3"/>
        <w:numPr>
          <w:ilvl w:val="0"/>
          <w:numId w:val="8"/>
        </w:numPr>
        <w:spacing w:after="0" w:line="240" w:lineRule="auto"/>
        <w:ind w:leftChars="0"/>
        <w:rPr>
          <w:sz w:val="18"/>
          <w:szCs w:val="20"/>
        </w:rPr>
      </w:pPr>
      <w:r w:rsidRPr="00A51389">
        <w:rPr>
          <w:b/>
          <w:bCs/>
          <w:sz w:val="18"/>
          <w:szCs w:val="20"/>
        </w:rPr>
        <w:t>Sampling Method</w:t>
      </w:r>
      <w:r w:rsidR="00A51389">
        <w:rPr>
          <w:b/>
          <w:bCs/>
          <w:sz w:val="18"/>
          <w:szCs w:val="20"/>
        </w:rPr>
        <w:t>:</w:t>
      </w:r>
      <w:r w:rsidRPr="00A51389">
        <w:rPr>
          <w:sz w:val="18"/>
          <w:szCs w:val="20"/>
        </w:rPr>
        <w:t xml:space="preserve"> </w:t>
      </w:r>
      <w:r w:rsidR="00A51389" w:rsidRPr="00A51389">
        <w:rPr>
          <w:sz w:val="18"/>
          <w:szCs w:val="20"/>
        </w:rPr>
        <w:t xml:space="preserve">Random sampling, BALD, </w:t>
      </w:r>
      <w:proofErr w:type="spellStart"/>
      <w:r w:rsidR="00A51389" w:rsidRPr="00A51389">
        <w:rPr>
          <w:sz w:val="18"/>
          <w:szCs w:val="20"/>
        </w:rPr>
        <w:t>BatchBALD</w:t>
      </w:r>
      <w:proofErr w:type="spellEnd"/>
    </w:p>
    <w:p w14:paraId="066D87FC" w14:textId="483F59C2" w:rsidR="009F4BC7" w:rsidRPr="00A51389" w:rsidRDefault="00AE068B" w:rsidP="002C0CD2">
      <w:pPr>
        <w:pStyle w:val="a3"/>
        <w:numPr>
          <w:ilvl w:val="0"/>
          <w:numId w:val="8"/>
        </w:numPr>
        <w:spacing w:line="240" w:lineRule="auto"/>
        <w:ind w:leftChars="0"/>
        <w:rPr>
          <w:sz w:val="18"/>
          <w:szCs w:val="20"/>
        </w:rPr>
      </w:pPr>
      <w:r w:rsidRPr="00A51389">
        <w:rPr>
          <w:rFonts w:hint="eastAsia"/>
          <w:b/>
          <w:bCs/>
          <w:sz w:val="18"/>
          <w:szCs w:val="20"/>
        </w:rPr>
        <w:t>U</w:t>
      </w:r>
      <w:r w:rsidRPr="00A51389">
        <w:rPr>
          <w:b/>
          <w:bCs/>
          <w:sz w:val="18"/>
          <w:szCs w:val="20"/>
        </w:rPr>
        <w:t>ncertainty approximation</w:t>
      </w:r>
      <w:r w:rsidR="00A51389">
        <w:rPr>
          <w:b/>
          <w:bCs/>
          <w:sz w:val="18"/>
          <w:szCs w:val="20"/>
        </w:rPr>
        <w:t>:</w:t>
      </w:r>
      <w:r w:rsidR="00A51389" w:rsidRPr="00A51389">
        <w:rPr>
          <w:sz w:val="18"/>
          <w:szCs w:val="20"/>
        </w:rPr>
        <w:t xml:space="preserve"> One sample (without approximation), MC Dropout, Full Ensemble </w:t>
      </w:r>
    </w:p>
    <w:p w14:paraId="3337F393" w14:textId="005D1F74" w:rsidR="007D1309" w:rsidRDefault="007D1309" w:rsidP="002C0CD2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R</w:t>
      </w:r>
      <w:r>
        <w:t>elated Works</w:t>
      </w:r>
      <w:r w:rsidR="00A51389">
        <w:t xml:space="preserve"> &amp; Reference</w:t>
      </w:r>
    </w:p>
    <w:p w14:paraId="164414EB" w14:textId="7F5CFF2A" w:rsidR="007D1309" w:rsidRPr="002C0CD2" w:rsidRDefault="00A51389" w:rsidP="00A51389">
      <w:pPr>
        <w:pStyle w:val="a3"/>
        <w:ind w:leftChars="0"/>
        <w:rPr>
          <w:sz w:val="18"/>
          <w:szCs w:val="20"/>
        </w:rPr>
      </w:pPr>
      <w:r w:rsidRPr="002C0CD2">
        <w:rPr>
          <w:sz w:val="18"/>
          <w:szCs w:val="20"/>
        </w:rPr>
        <w:t xml:space="preserve">Detailed explanations about the related works were delivered through </w:t>
      </w:r>
      <w:r w:rsidRPr="002C0CD2">
        <w:rPr>
          <w:rFonts w:hint="eastAsia"/>
          <w:sz w:val="18"/>
          <w:szCs w:val="20"/>
        </w:rPr>
        <w:t>t</w:t>
      </w:r>
      <w:r w:rsidRPr="002C0CD2">
        <w:rPr>
          <w:sz w:val="18"/>
          <w:szCs w:val="20"/>
        </w:rPr>
        <w:t>he video.</w:t>
      </w:r>
    </w:p>
    <w:p w14:paraId="2B2787DB" w14:textId="77777777" w:rsidR="002C0CD2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 xml:space="preserve">[1] Shen, </w:t>
      </w:r>
      <w:proofErr w:type="spellStart"/>
      <w:r w:rsidRPr="002C0CD2">
        <w:rPr>
          <w:sz w:val="18"/>
          <w:szCs w:val="20"/>
        </w:rPr>
        <w:t>Yanyao</w:t>
      </w:r>
      <w:proofErr w:type="spellEnd"/>
      <w:r w:rsidRPr="002C0CD2">
        <w:rPr>
          <w:sz w:val="18"/>
          <w:szCs w:val="20"/>
        </w:rPr>
        <w:t>, et al. "Deep active learning for named entity recognition." </w:t>
      </w:r>
      <w:proofErr w:type="spellStart"/>
      <w:r w:rsidRPr="002C0CD2">
        <w:rPr>
          <w:sz w:val="18"/>
          <w:szCs w:val="20"/>
        </w:rPr>
        <w:t>arXiv</w:t>
      </w:r>
      <w:proofErr w:type="spellEnd"/>
      <w:r w:rsidRPr="002C0CD2">
        <w:rPr>
          <w:sz w:val="18"/>
          <w:szCs w:val="20"/>
        </w:rPr>
        <w:t xml:space="preserve"> preprint arXiv:1707.05928 (2017).</w:t>
      </w:r>
    </w:p>
    <w:p w14:paraId="26939A87" w14:textId="77777777" w:rsidR="002C0CD2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 xml:space="preserve">[2] </w:t>
      </w:r>
      <w:proofErr w:type="spellStart"/>
      <w:r w:rsidRPr="002C0CD2">
        <w:rPr>
          <w:sz w:val="18"/>
          <w:szCs w:val="20"/>
        </w:rPr>
        <w:t>Houlsby</w:t>
      </w:r>
      <w:proofErr w:type="spellEnd"/>
      <w:r w:rsidRPr="002C0CD2">
        <w:rPr>
          <w:sz w:val="18"/>
          <w:szCs w:val="20"/>
        </w:rPr>
        <w:t>, Neil, et al. "Bayesian active learning for classification and preference learning." </w:t>
      </w:r>
      <w:proofErr w:type="spellStart"/>
      <w:r w:rsidRPr="002C0CD2">
        <w:rPr>
          <w:sz w:val="18"/>
          <w:szCs w:val="20"/>
        </w:rPr>
        <w:t>arXiv</w:t>
      </w:r>
      <w:proofErr w:type="spellEnd"/>
      <w:r w:rsidRPr="002C0CD2">
        <w:rPr>
          <w:sz w:val="18"/>
          <w:szCs w:val="20"/>
        </w:rPr>
        <w:t xml:space="preserve"> preprint arXiv:1112.5745 (2011).</w:t>
      </w:r>
    </w:p>
    <w:p w14:paraId="2DB5EDDD" w14:textId="28BBF71F" w:rsidR="00A51389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>[3] Settles, Burr. "Active learning literature survey." (2009).</w:t>
      </w:r>
    </w:p>
    <w:p w14:paraId="4E0432AF" w14:textId="7C0D9808" w:rsidR="002C0CD2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 xml:space="preserve">[4] </w:t>
      </w:r>
      <w:proofErr w:type="spellStart"/>
      <w:r w:rsidRPr="002C0CD2">
        <w:rPr>
          <w:sz w:val="18"/>
          <w:szCs w:val="20"/>
        </w:rPr>
        <w:t>Margatina</w:t>
      </w:r>
      <w:proofErr w:type="spellEnd"/>
      <w:r w:rsidRPr="002C0CD2">
        <w:rPr>
          <w:sz w:val="18"/>
          <w:szCs w:val="20"/>
        </w:rPr>
        <w:t xml:space="preserve">, Katerina, </w:t>
      </w:r>
      <w:proofErr w:type="spellStart"/>
      <w:r w:rsidRPr="002C0CD2">
        <w:rPr>
          <w:sz w:val="18"/>
          <w:szCs w:val="20"/>
        </w:rPr>
        <w:t>Loic</w:t>
      </w:r>
      <w:proofErr w:type="spellEnd"/>
      <w:r w:rsidRPr="002C0CD2">
        <w:rPr>
          <w:sz w:val="18"/>
          <w:szCs w:val="20"/>
        </w:rPr>
        <w:t xml:space="preserve"> </w:t>
      </w:r>
      <w:proofErr w:type="spellStart"/>
      <w:r w:rsidRPr="002C0CD2">
        <w:rPr>
          <w:sz w:val="18"/>
          <w:szCs w:val="20"/>
        </w:rPr>
        <w:t>Barrault</w:t>
      </w:r>
      <w:proofErr w:type="spellEnd"/>
      <w:r w:rsidRPr="002C0CD2">
        <w:rPr>
          <w:sz w:val="18"/>
          <w:szCs w:val="20"/>
        </w:rPr>
        <w:t xml:space="preserve">, and Nikolaos </w:t>
      </w:r>
      <w:proofErr w:type="spellStart"/>
      <w:r w:rsidRPr="002C0CD2">
        <w:rPr>
          <w:sz w:val="18"/>
          <w:szCs w:val="20"/>
        </w:rPr>
        <w:t>Aletras</w:t>
      </w:r>
      <w:proofErr w:type="spellEnd"/>
      <w:r w:rsidRPr="002C0CD2">
        <w:rPr>
          <w:sz w:val="18"/>
          <w:szCs w:val="20"/>
        </w:rPr>
        <w:t>. "Bayesian Active Learning with Pretrained Language Models." </w:t>
      </w:r>
      <w:proofErr w:type="spellStart"/>
      <w:r w:rsidRPr="002C0CD2">
        <w:rPr>
          <w:sz w:val="18"/>
          <w:szCs w:val="20"/>
        </w:rPr>
        <w:t>arXiv</w:t>
      </w:r>
      <w:proofErr w:type="spellEnd"/>
      <w:r w:rsidRPr="002C0CD2">
        <w:rPr>
          <w:sz w:val="18"/>
          <w:szCs w:val="20"/>
        </w:rPr>
        <w:t xml:space="preserve"> preprint arXiv:2104.08320 (2021).</w:t>
      </w:r>
    </w:p>
    <w:p w14:paraId="688CDE9C" w14:textId="77777777" w:rsidR="002C0CD2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 xml:space="preserve">[5] </w:t>
      </w:r>
      <w:proofErr w:type="spellStart"/>
      <w:r w:rsidRPr="002C0CD2">
        <w:rPr>
          <w:sz w:val="18"/>
          <w:szCs w:val="20"/>
        </w:rPr>
        <w:t>Houlsby</w:t>
      </w:r>
      <w:proofErr w:type="spellEnd"/>
      <w:r w:rsidRPr="002C0CD2">
        <w:rPr>
          <w:sz w:val="18"/>
          <w:szCs w:val="20"/>
        </w:rPr>
        <w:t>, Neil, et al. "Bayesian active learning for classification and preference learning." </w:t>
      </w:r>
      <w:proofErr w:type="spellStart"/>
      <w:r w:rsidRPr="002C0CD2">
        <w:rPr>
          <w:sz w:val="18"/>
          <w:szCs w:val="20"/>
        </w:rPr>
        <w:t>arXiv</w:t>
      </w:r>
      <w:proofErr w:type="spellEnd"/>
      <w:r w:rsidRPr="002C0CD2">
        <w:rPr>
          <w:sz w:val="18"/>
          <w:szCs w:val="20"/>
        </w:rPr>
        <w:t xml:space="preserve"> preprint arXiv:1112.5745 (2011).</w:t>
      </w:r>
    </w:p>
    <w:p w14:paraId="7F4504FF" w14:textId="77777777" w:rsidR="002C0CD2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 xml:space="preserve">[6] Gal, </w:t>
      </w:r>
      <w:proofErr w:type="spellStart"/>
      <w:r w:rsidRPr="002C0CD2">
        <w:rPr>
          <w:sz w:val="18"/>
          <w:szCs w:val="20"/>
        </w:rPr>
        <w:t>Yarin</w:t>
      </w:r>
      <w:proofErr w:type="spellEnd"/>
      <w:r w:rsidRPr="002C0CD2">
        <w:rPr>
          <w:sz w:val="18"/>
          <w:szCs w:val="20"/>
        </w:rPr>
        <w:t xml:space="preserve">, and </w:t>
      </w:r>
      <w:proofErr w:type="spellStart"/>
      <w:r w:rsidRPr="002C0CD2">
        <w:rPr>
          <w:sz w:val="18"/>
          <w:szCs w:val="20"/>
        </w:rPr>
        <w:t>Zoubin</w:t>
      </w:r>
      <w:proofErr w:type="spellEnd"/>
      <w:r w:rsidRPr="002C0CD2">
        <w:rPr>
          <w:sz w:val="18"/>
          <w:szCs w:val="20"/>
        </w:rPr>
        <w:t xml:space="preserve"> </w:t>
      </w:r>
      <w:proofErr w:type="spellStart"/>
      <w:r w:rsidRPr="002C0CD2">
        <w:rPr>
          <w:sz w:val="18"/>
          <w:szCs w:val="20"/>
        </w:rPr>
        <w:t>Ghahramani</w:t>
      </w:r>
      <w:proofErr w:type="spellEnd"/>
      <w:r w:rsidRPr="002C0CD2">
        <w:rPr>
          <w:sz w:val="18"/>
          <w:szCs w:val="20"/>
        </w:rPr>
        <w:t xml:space="preserve">. "Dropout as a </w:t>
      </w:r>
      <w:proofErr w:type="spellStart"/>
      <w:r w:rsidRPr="002C0CD2">
        <w:rPr>
          <w:sz w:val="18"/>
          <w:szCs w:val="20"/>
        </w:rPr>
        <w:t>bayesian</w:t>
      </w:r>
      <w:proofErr w:type="spellEnd"/>
      <w:r w:rsidRPr="002C0CD2">
        <w:rPr>
          <w:sz w:val="18"/>
          <w:szCs w:val="20"/>
        </w:rPr>
        <w:t xml:space="preserve"> approximation: Representing model uncertainty in deep learning." international conference on machine learning. PMLR, 2016.</w:t>
      </w:r>
    </w:p>
    <w:p w14:paraId="15DDB448" w14:textId="77777777" w:rsidR="002C0CD2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 xml:space="preserve">[7] Kirsch, Andreas, Joost Van Amersfoort, and </w:t>
      </w:r>
      <w:proofErr w:type="spellStart"/>
      <w:r w:rsidRPr="002C0CD2">
        <w:rPr>
          <w:sz w:val="18"/>
          <w:szCs w:val="20"/>
        </w:rPr>
        <w:t>Yarin</w:t>
      </w:r>
      <w:proofErr w:type="spellEnd"/>
      <w:r w:rsidRPr="002C0CD2">
        <w:rPr>
          <w:sz w:val="18"/>
          <w:szCs w:val="20"/>
        </w:rPr>
        <w:t xml:space="preserve"> Gal. "</w:t>
      </w:r>
      <w:proofErr w:type="spellStart"/>
      <w:r w:rsidRPr="002C0CD2">
        <w:rPr>
          <w:sz w:val="18"/>
          <w:szCs w:val="20"/>
        </w:rPr>
        <w:t>Batchbald</w:t>
      </w:r>
      <w:proofErr w:type="spellEnd"/>
      <w:r w:rsidRPr="002C0CD2">
        <w:rPr>
          <w:sz w:val="18"/>
          <w:szCs w:val="20"/>
        </w:rPr>
        <w:t xml:space="preserve">: Efficient and diverse batch acquisition for deep </w:t>
      </w:r>
      <w:proofErr w:type="spellStart"/>
      <w:r w:rsidRPr="002C0CD2">
        <w:rPr>
          <w:sz w:val="18"/>
          <w:szCs w:val="20"/>
        </w:rPr>
        <w:t>bayesian</w:t>
      </w:r>
      <w:proofErr w:type="spellEnd"/>
      <w:r w:rsidRPr="002C0CD2">
        <w:rPr>
          <w:sz w:val="18"/>
          <w:szCs w:val="20"/>
        </w:rPr>
        <w:t xml:space="preserve"> active learning." Advances in neural information processing systems 32 (2019): 7026-7037.</w:t>
      </w:r>
    </w:p>
    <w:p w14:paraId="308E609F" w14:textId="7559FB8E" w:rsidR="002C0CD2" w:rsidRPr="002C0CD2" w:rsidRDefault="002C0CD2" w:rsidP="002C0CD2">
      <w:pPr>
        <w:pStyle w:val="a3"/>
        <w:spacing w:after="0" w:line="180" w:lineRule="auto"/>
        <w:ind w:leftChars="0" w:left="799"/>
        <w:rPr>
          <w:sz w:val="18"/>
          <w:szCs w:val="20"/>
        </w:rPr>
      </w:pPr>
      <w:r w:rsidRPr="002C0CD2">
        <w:rPr>
          <w:sz w:val="18"/>
          <w:szCs w:val="20"/>
        </w:rPr>
        <w:t xml:space="preserve">[8] </w:t>
      </w:r>
      <w:proofErr w:type="spellStart"/>
      <w:r w:rsidRPr="002C0CD2">
        <w:rPr>
          <w:sz w:val="18"/>
          <w:szCs w:val="20"/>
        </w:rPr>
        <w:t>Beluch</w:t>
      </w:r>
      <w:proofErr w:type="spellEnd"/>
      <w:r w:rsidRPr="002C0CD2">
        <w:rPr>
          <w:sz w:val="18"/>
          <w:szCs w:val="20"/>
        </w:rPr>
        <w:t>, William H., et al. "The power of ensembles for active learning in image classification." Proceedings of the IEEE Conference on Computer Vision and Pattern Recognition. 2018.</w:t>
      </w:r>
    </w:p>
    <w:sectPr w:rsidR="002C0CD2" w:rsidRPr="002C0CD2" w:rsidSect="007D130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EB7"/>
    <w:multiLevelType w:val="hybridMultilevel"/>
    <w:tmpl w:val="5EEE683A"/>
    <w:lvl w:ilvl="0" w:tplc="F5B6C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825A68"/>
    <w:multiLevelType w:val="hybridMultilevel"/>
    <w:tmpl w:val="394A477E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2A970B60"/>
    <w:multiLevelType w:val="hybridMultilevel"/>
    <w:tmpl w:val="16D4443A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3DC7493A"/>
    <w:multiLevelType w:val="hybridMultilevel"/>
    <w:tmpl w:val="E364193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612F2"/>
    <w:multiLevelType w:val="hybridMultilevel"/>
    <w:tmpl w:val="E7D20D1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48702AA9"/>
    <w:multiLevelType w:val="hybridMultilevel"/>
    <w:tmpl w:val="B600B1A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57047450"/>
    <w:multiLevelType w:val="hybridMultilevel"/>
    <w:tmpl w:val="E32C93F6"/>
    <w:lvl w:ilvl="0" w:tplc="F5B6C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66968F4"/>
    <w:multiLevelType w:val="hybridMultilevel"/>
    <w:tmpl w:val="4FD4D0B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F5B6CA1E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09"/>
    <w:rsid w:val="00225C1E"/>
    <w:rsid w:val="002C0CD2"/>
    <w:rsid w:val="007D1309"/>
    <w:rsid w:val="009F4BC7"/>
    <w:rsid w:val="00A51389"/>
    <w:rsid w:val="00AB443A"/>
    <w:rsid w:val="00AB5ED4"/>
    <w:rsid w:val="00AD20A7"/>
    <w:rsid w:val="00AE068B"/>
    <w:rsid w:val="00C216DB"/>
    <w:rsid w:val="00D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933"/>
  <w15:chartTrackingRefBased/>
  <w15:docId w15:val="{FBE85ED8-AEE5-42DB-AF4B-40601BDD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3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5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Daehyun</dc:creator>
  <cp:keywords/>
  <dc:description/>
  <cp:lastModifiedBy>Cho Daehyun</cp:lastModifiedBy>
  <cp:revision>3</cp:revision>
  <dcterms:created xsi:type="dcterms:W3CDTF">2021-10-24T06:58:00Z</dcterms:created>
  <dcterms:modified xsi:type="dcterms:W3CDTF">2021-10-28T05:15:00Z</dcterms:modified>
</cp:coreProperties>
</file>