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For general information see UVVM Essential Mechanisms located in uvvm_vvc_framework/doc.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bookmarkStart w:id="1" w:name="_GoBack"/>
            <w:bookmarkEnd w:id="1"/>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t>
            </w:r>
            <w:proofErr w:type="gramStart"/>
            <w:r w:rsidRPr="00662DF1">
              <w:rPr>
                <w:rFonts w:cs="Helvetica"/>
                <w:b/>
                <w:szCs w:val="16"/>
              </w:rPr>
              <w:t>write(</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w:t>
            </w:r>
            <w:proofErr w:type="gramStart"/>
            <w:r w:rsidRPr="009C4146">
              <w:rPr>
                <w:rFonts w:cs="Helvetica"/>
                <w:b/>
                <w:sz w:val="15"/>
                <w:szCs w:val="15"/>
              </w:rPr>
              <w:t>write(</w:t>
            </w:r>
            <w:proofErr w:type="gramEnd"/>
            <w:r w:rsidRPr="009C4146">
              <w:rPr>
                <w:rFonts w:cs="Helvetica"/>
                <w:b/>
                <w:sz w:val="15"/>
                <w:szCs w:val="15"/>
              </w:rPr>
              <w:t xml:space="preserv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t>
            </w:r>
            <w:proofErr w:type="gramStart"/>
            <w:r w:rsidRPr="009C4146">
              <w:rPr>
                <w:rFonts w:cs="Helvetica"/>
                <w:sz w:val="15"/>
                <w:szCs w:val="15"/>
              </w:rPr>
              <w:t>write</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t>
            </w:r>
            <w:proofErr w:type="gramStart"/>
            <w:r w:rsidRPr="009C4146">
              <w:rPr>
                <w:rFonts w:cs="Helvetica"/>
                <w:sz w:val="15"/>
                <w:szCs w:val="15"/>
              </w:rPr>
              <w:t>write(</w:t>
            </w:r>
            <w:proofErr w:type="gramEnd"/>
            <w:r w:rsidRPr="009C4146">
              <w:rPr>
                <w:rFonts w:cs="Helvetica"/>
                <w:sz w:val="15"/>
                <w:szCs w:val="15"/>
              </w:rPr>
              <w:t xml:space="preserv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w:t>
            </w:r>
            <w:proofErr w:type="gramStart"/>
            <w:r w:rsidRPr="00662DF1">
              <w:rPr>
                <w:rFonts w:cs="Helvetica"/>
                <w:b/>
                <w:szCs w:val="14"/>
              </w:rPr>
              <w:t>read(</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w:t>
            </w:r>
            <w:proofErr w:type="gramStart"/>
            <w:r w:rsidRPr="009C4146">
              <w:rPr>
                <w:rFonts w:cs="Helvetica"/>
                <w:b/>
                <w:sz w:val="15"/>
                <w:szCs w:val="15"/>
              </w:rPr>
              <w:t>read(</w:t>
            </w:r>
            <w:proofErr w:type="gramEnd"/>
            <w:r>
              <w:rPr>
                <w:rFonts w:cs="Helvetica"/>
                <w:b/>
                <w:sz w:val="15"/>
                <w:szCs w:val="15"/>
              </w:rPr>
              <w:t>VVC, instance_idx,  addr,  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The axilite_</w:t>
            </w:r>
            <w:proofErr w:type="gramStart"/>
            <w:r w:rsidRPr="009C4146">
              <w:rPr>
                <w:rFonts w:cs="Helvetica"/>
                <w:sz w:val="15"/>
                <w:szCs w:val="15"/>
              </w:rPr>
              <w:t>read(</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w:t>
            </w:r>
            <w:proofErr w:type="gramStart"/>
            <w:r w:rsidRPr="009C4146">
              <w:rPr>
                <w:rFonts w:cs="Helvetica"/>
                <w:sz w:val="15"/>
                <w:szCs w:val="15"/>
              </w:rPr>
              <w:t>read(</w:t>
            </w:r>
            <w:proofErr w:type="gramEnd"/>
            <w:r w:rsidRPr="009C4146">
              <w:rPr>
                <w:rFonts w:cs="Helvetica"/>
                <w:sz w:val="15"/>
                <w:szCs w:val="15"/>
              </w:rPr>
              <w:t>) procedure, described in the AXI4-Lite</w:t>
            </w:r>
            <w:r w:rsidR="00741AE0">
              <w:rPr>
                <w:rFonts w:cs="Helvetica"/>
                <w:sz w:val="15"/>
                <w:szCs w:val="15"/>
              </w:rPr>
              <w:t xml:space="preserve"> BFM QuickRef.</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w:t>
            </w:r>
            <w:proofErr w:type="gramStart"/>
            <w:r w:rsidR="006C04EB">
              <w:rPr>
                <w:rFonts w:cs="Helvetica"/>
                <w:sz w:val="15"/>
                <w:szCs w:val="15"/>
              </w:rPr>
              <w:t>result(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proofErr w:type="gramStart"/>
            <w:r w:rsidRPr="00CE0A74">
              <w:rPr>
                <w:rFonts w:ascii="Courier New" w:hAnsi="Courier New" w:cs="Courier New"/>
                <w:sz w:val="15"/>
                <w:szCs w:val="15"/>
              </w:rPr>
              <w:t>read(</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w:t>
            </w:r>
            <w:proofErr w:type="gramStart"/>
            <w:r w:rsidRPr="00CE0A74">
              <w:rPr>
                <w:rFonts w:ascii="Courier New" w:hAnsi="Courier New" w:cs="Courier New"/>
                <w:sz w:val="15"/>
                <w:szCs w:val="15"/>
              </w:rPr>
              <w:t>completion(</w:t>
            </w:r>
            <w:proofErr w:type="gramEnd"/>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w:t>
            </w:r>
            <w:proofErr w:type="gramStart"/>
            <w:r w:rsidRPr="00662DF1">
              <w:rPr>
                <w:rFonts w:cs="Helvetica"/>
                <w:b/>
                <w:szCs w:val="14"/>
              </w:rPr>
              <w:t>check(</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w:t>
            </w:r>
            <w:proofErr w:type="gramStart"/>
            <w:r w:rsidRPr="009C4146">
              <w:rPr>
                <w:rFonts w:cs="Helvetica"/>
                <w:b/>
                <w:sz w:val="15"/>
                <w:szCs w:val="15"/>
              </w:rPr>
              <w:t>check(</w:t>
            </w:r>
            <w:proofErr w:type="gramEnd"/>
            <w:r w:rsidRPr="009C4146">
              <w:rPr>
                <w:rFonts w:cs="Helvetica"/>
                <w:b/>
                <w:sz w:val="15"/>
                <w:szCs w:val="15"/>
              </w:rPr>
              <w:t>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The axilite_</w:t>
            </w:r>
            <w:proofErr w:type="gramStart"/>
            <w:r w:rsidRPr="009C4146">
              <w:rPr>
                <w:rFonts w:cs="Helvetica"/>
                <w:sz w:val="15"/>
                <w:szCs w:val="15"/>
              </w:rPr>
              <w:t>check(</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w:t>
            </w:r>
            <w:proofErr w:type="gramStart"/>
            <w:r w:rsidRPr="009C4146">
              <w:rPr>
                <w:rFonts w:cs="Helvetica"/>
                <w:sz w:val="15"/>
                <w:szCs w:val="15"/>
              </w:rPr>
              <w:t>check(</w:t>
            </w:r>
            <w:proofErr w:type="gramEnd"/>
            <w:r w:rsidRPr="009C4146">
              <w:rPr>
                <w:rFonts w:cs="Helvetica"/>
                <w:sz w:val="15"/>
                <w:szCs w:val="15"/>
              </w:rPr>
              <w:t>) procedure, described in the AXI4-Lite BFM QuickRef. The axilite_</w:t>
            </w:r>
            <w:proofErr w:type="gramStart"/>
            <w:r w:rsidRPr="009C4146">
              <w:rPr>
                <w:rFonts w:cs="Helvetica"/>
                <w:sz w:val="15"/>
                <w:szCs w:val="15"/>
              </w:rPr>
              <w:t>check(</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w:t>
      </w:r>
      <w:proofErr w:type="gramStart"/>
      <w:r>
        <w:rPr>
          <w:rFonts w:ascii="Courier New" w:hAnsi="Courier New" w:cs="Courier New"/>
          <w:szCs w:val="18"/>
        </w:rPr>
        <w:t>config(</w:t>
      </w:r>
      <w:proofErr w:type="gramEnd"/>
      <w:r>
        <w:rPr>
          <w:rFonts w:ascii="Courier New" w:hAnsi="Courier New" w:cs="Courier New"/>
          <w:szCs w:val="18"/>
        </w:rPr>
        <w:t>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w:t>
      </w:r>
      <w:proofErr w:type="gramStart"/>
      <w:r>
        <w:rPr>
          <w:rFonts w:ascii="Courier New" w:hAnsi="Courier New" w:cs="Courier New"/>
          <w:szCs w:val="18"/>
        </w:rPr>
        <w:t>config(</w:t>
      </w:r>
      <w:proofErr w:type="gramEnd"/>
      <w:r>
        <w:rPr>
          <w:rFonts w:ascii="Courier New" w:hAnsi="Courier New" w:cs="Courier New"/>
          <w:szCs w:val="18"/>
        </w:rPr>
        <w:t>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77777777" w:rsidR="00945F96" w:rsidRPr="00945F96" w:rsidRDefault="00945F96"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w:t>
      </w:r>
      <w:proofErr w:type="gramStart"/>
      <w:r>
        <w:rPr>
          <w:rFonts w:ascii="Courier New" w:hAnsi="Courier New" w:cs="Courier New"/>
        </w:rPr>
        <w:t xml:space="preserve">   (</w:t>
      </w:r>
      <w:proofErr w:type="gramEnd"/>
      <w:r>
        <w:rPr>
          <w:rFonts w:ascii="Courier New" w:hAnsi="Courier New" w:cs="Courier New"/>
        </w:rPr>
        <w:t xml:space="preserve">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gramStart"/>
      <w:r>
        <w:rPr>
          <w:rFonts w:ascii="Courier New" w:hAnsi="Courier New" w:cs="Courier New"/>
        </w:rPr>
        <w:t>wstrb(</w:t>
      </w:r>
      <w:proofErr w:type="gramEnd"/>
      <w:r>
        <w:rPr>
          <w:rFonts w:ascii="Courier New" w:hAnsi="Courier New" w:cs="Courier New"/>
        </w:rPr>
        <w:t>(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w:t>
      </w:r>
      <w:proofErr w:type="gramStart"/>
      <w:r>
        <w:rPr>
          <w:rFonts w:ascii="Courier New" w:hAnsi="Courier New" w:cs="Courier New"/>
        </w:rPr>
        <w:t>( araddr</w:t>
      </w:r>
      <w:proofErr w:type="gramEnd"/>
      <w:r>
        <w:rPr>
          <w:rFonts w:ascii="Courier New" w:hAnsi="Courier New" w:cs="Courier New"/>
        </w:rPr>
        <w:t>( C_ADDR_WIDTH   -1 downto 0)),</w:t>
      </w:r>
    </w:p>
    <w:p w14:paraId="3FD9B323" w14:textId="384605B9" w:rsidR="00F15A6D" w:rsidRDefault="00F15A6D" w:rsidP="00F15A6D">
      <w:pPr>
        <w:rPr>
          <w:rFonts w:ascii="Courier New" w:hAnsi="Courier New" w:cs="Courier New"/>
        </w:rPr>
      </w:pPr>
      <w:r>
        <w:rPr>
          <w:rFonts w:ascii="Courier New" w:hAnsi="Courier New" w:cs="Courier New"/>
        </w:rPr>
        <w:t xml:space="preserve">                                      read_data_channel </w:t>
      </w:r>
      <w:proofErr w:type="gramStart"/>
      <w:r>
        <w:rPr>
          <w:rFonts w:ascii="Courier New" w:hAnsi="Courier New" w:cs="Courier New"/>
        </w:rPr>
        <w:t xml:space="preserve">   (</w:t>
      </w:r>
      <w:proofErr w:type="gramEnd"/>
      <w:r>
        <w:rPr>
          <w:rFonts w:ascii="Courier New" w:hAnsi="Courier New" w:cs="Courier New"/>
        </w:rPr>
        <w:t xml:space="preserve"> rdata ( C_DATA_WIDTH   -1 downto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29C0EEBB" w14:textId="21BC2DA3" w:rsidR="00945F96" w:rsidRDefault="00945F96"/>
    <w:p w14:paraId="4B2F963D" w14:textId="53A34E1F" w:rsidR="00945F96" w:rsidRDefault="00945F96"/>
    <w:p w14:paraId="3AF8E3A3" w14:textId="6FFF690B" w:rsidR="00945F96" w:rsidRDefault="00945F96"/>
    <w:p w14:paraId="346DB3AC" w14:textId="63C039C7" w:rsidR="00945F96" w:rsidRDefault="00945F96"/>
    <w:p w14:paraId="60758625" w14:textId="2C8EDC63" w:rsidR="00945F96" w:rsidRDefault="00945F96"/>
    <w:p w14:paraId="7FA998F4" w14:textId="68793657" w:rsidR="00945F96" w:rsidRDefault="00945F96"/>
    <w:p w14:paraId="0D26A4D0" w14:textId="5E97B21E" w:rsidR="00945F96" w:rsidRDefault="00945F96"/>
    <w:p w14:paraId="7C99202E" w14:textId="433450CE" w:rsidR="00945F96" w:rsidRDefault="00945F96"/>
    <w:p w14:paraId="490CBFD5" w14:textId="62631B50" w:rsidR="00945F96" w:rsidRDefault="00945F96"/>
    <w:p w14:paraId="0F1BB232" w14:textId="68E08D5F" w:rsidR="00945F96" w:rsidRDefault="00945F96"/>
    <w:p w14:paraId="099C5559" w14:textId="46CAA2A7"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02ACD492" w:rsidR="00604608" w:rsidRDefault="00604608" w:rsidP="00604608">
      <w:r w:rsidRPr="00ED00DF">
        <w:lastRenderedPageBreak/>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eavsnitt"/>
        <w:numPr>
          <w:ilvl w:val="0"/>
          <w:numId w:val="40"/>
        </w:numPr>
        <w:rPr>
          <w:b/>
          <w:i/>
        </w:rPr>
      </w:pPr>
      <w:r w:rsidRPr="009902B2">
        <w:rPr>
          <w:b/>
          <w:i/>
        </w:rPr>
        <w:t>UVVM VVC Framework</w:t>
      </w:r>
      <w:r w:rsidR="00B468CF">
        <w:rPr>
          <w:b/>
          <w:i/>
        </w:rPr>
        <w:t>, version 2.1</w:t>
      </w:r>
      <w:r w:rsidR="007B1B2E">
        <w:rPr>
          <w:b/>
          <w:i/>
        </w:rPr>
        <w:t>.0 and up</w:t>
      </w:r>
    </w:p>
    <w:p w14:paraId="3FA89909" w14:textId="0792CC4E" w:rsidR="00604608" w:rsidRPr="009902B2" w:rsidRDefault="00604608" w:rsidP="009902B2">
      <w:pPr>
        <w:pStyle w:val="Listeavsnitt"/>
        <w:numPr>
          <w:ilvl w:val="0"/>
          <w:numId w:val="40"/>
        </w:numPr>
        <w:rPr>
          <w:b/>
          <w:i/>
        </w:rPr>
      </w:pPr>
      <w:r w:rsidRPr="009902B2">
        <w:rPr>
          <w:b/>
          <w:i/>
        </w:rPr>
        <w:t>AXI4-Lite BFM</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uvvm_vvc_framework and</w:t>
      </w:r>
      <w:r>
        <w:t xml:space="preserve"> uvvm_util 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4618544" w:rsidR="00604608" w:rsidRPr="00532952" w:rsidRDefault="00604608" w:rsidP="009902B2">
      <w:r w:rsidRPr="00532952">
        <w:t xml:space="preserve">This </w:t>
      </w:r>
      <w:r>
        <w:t>VVC</w:t>
      </w:r>
      <w:r w:rsidRPr="00532952">
        <w:t xml:space="preserve"> has been compiled and tested with Modelsim </w:t>
      </w:r>
      <w:r w:rsidR="007B1B2E">
        <w:t>version 10.3d</w:t>
      </w:r>
      <w:r w:rsidR="00E5246D">
        <w:t xml:space="preserve"> and Riv</w:t>
      </w:r>
      <w:r w:rsidR="00BE1E83">
        <w:t>i</w:t>
      </w:r>
      <w:r w:rsidR="00E5246D">
        <w:t>era-PRO version 2015.10.85</w:t>
      </w:r>
      <w:r w:rsidR="001C2F13">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653CB22E" w14:textId="5E4C05DC" w:rsidR="00945F96" w:rsidRDefault="00945F96" w:rsidP="002F3699">
      <w:pPr>
        <w:rPr>
          <w:rFonts w:ascii="Helvetica Neue Thin" w:hAnsi="Helvetica Neue Thin"/>
          <w:i/>
          <w:iCs/>
          <w:sz w:val="14"/>
          <w:szCs w:val="16"/>
        </w:rPr>
      </w:pPr>
    </w:p>
    <w:p w14:paraId="2589C1DC" w14:textId="612CC9EA" w:rsidR="00945F96" w:rsidRDefault="00945F96" w:rsidP="002F3699">
      <w:pPr>
        <w:rPr>
          <w:rFonts w:ascii="Helvetica Neue Thin" w:hAnsi="Helvetica Neue Thin"/>
          <w:i/>
          <w:iCs/>
          <w:sz w:val="14"/>
          <w:szCs w:val="16"/>
        </w:rPr>
      </w:pPr>
    </w:p>
    <w:p w14:paraId="0E4B07D4" w14:textId="7A51F21E" w:rsidR="00945F96" w:rsidRDefault="00945F96"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9BC0F" w14:textId="77777777" w:rsidR="00CB3098" w:rsidRPr="009F58C4" w:rsidRDefault="00CB3098">
      <w:pPr>
        <w:rPr>
          <w:rFonts w:ascii="Arial" w:hAnsi="Arial" w:cs="Arial"/>
          <w:lang w:val="sq-AL"/>
        </w:rPr>
      </w:pPr>
      <w:r w:rsidRPr="009F58C4">
        <w:rPr>
          <w:rFonts w:ascii="Arial" w:hAnsi="Arial" w:cs="Arial"/>
          <w:lang w:val="sq-AL"/>
        </w:rPr>
        <w:separator/>
      </w:r>
    </w:p>
  </w:endnote>
  <w:endnote w:type="continuationSeparator" w:id="0">
    <w:p w14:paraId="2D09C002" w14:textId="77777777" w:rsidR="00CB3098" w:rsidRPr="009F58C4" w:rsidRDefault="00CB309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672F5B"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1D75A4B5"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672F5B">
            <w:rPr>
              <w:rFonts w:ascii="Helvetica" w:hAnsi="Helvetica" w:cs="Arial"/>
              <w:b/>
              <w:color w:val="1381C4"/>
              <w:sz w:val="14"/>
              <w:lang w:val="sq-AL"/>
            </w:rPr>
            <w:t>2</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672F5B">
            <w:rPr>
              <w:rFonts w:ascii="Helvetica" w:hAnsi="Helvetica" w:cs="Arial"/>
              <w:noProof/>
              <w:color w:val="1381C4"/>
              <w:sz w:val="14"/>
              <w:lang w:val="en-US"/>
            </w:rPr>
            <w:t>2019-06-06</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CB3098"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71F84" w14:textId="77777777" w:rsidR="00CB3098" w:rsidRPr="009F58C4" w:rsidRDefault="00CB3098">
      <w:pPr>
        <w:rPr>
          <w:rFonts w:ascii="Arial" w:hAnsi="Arial" w:cs="Arial"/>
          <w:lang w:val="sq-AL"/>
        </w:rPr>
      </w:pPr>
      <w:r w:rsidRPr="009F58C4">
        <w:rPr>
          <w:rFonts w:ascii="Arial" w:hAnsi="Arial" w:cs="Arial"/>
          <w:lang w:val="sq-AL"/>
        </w:rPr>
        <w:separator/>
      </w:r>
    </w:p>
  </w:footnote>
  <w:footnote w:type="continuationSeparator" w:id="0">
    <w:p w14:paraId="260C2E55" w14:textId="77777777" w:rsidR="00CB3098" w:rsidRPr="009F58C4" w:rsidRDefault="00CB309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C06C1-A299-488F-83F9-C17247DD8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2118</Words>
  <Characters>11226</Characters>
  <Application>Microsoft Office Word</Application>
  <DocSecurity>0</DocSecurity>
  <Lines>93</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13318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2019-06-06T11:42:00Z</dcterms:modified>
</cp:coreProperties>
</file>