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spellStart"/>
            <w:proofErr w:type="gramEnd"/>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spellStart"/>
            <w:proofErr w:type="gramEnd"/>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spellStart"/>
            <w:proofErr w:type="gramEnd"/>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t xml:space="preserve">Note that the clock generator VVC is included in the total registered </w:t>
      </w:r>
      <w:proofErr w:type="spellStart"/>
      <w:r>
        <w:rPr>
          <w:rFonts w:ascii="Verdana" w:hAnsi="Verdana"/>
        </w:rPr>
        <w:t>VVCs</w:t>
      </w:r>
      <w:proofErr w:type="spellEnd"/>
      <w:r>
        <w:rPr>
          <w:rFonts w:ascii="Verdana" w:hAnsi="Verdana"/>
        </w:rPr>
        <w:t xml:space="preserve"> in the </w:t>
      </w:r>
      <w:proofErr w:type="spellStart"/>
      <w:r w:rsidR="00281290">
        <w:rPr>
          <w:rFonts w:ascii="Verdana" w:hAnsi="Verdana"/>
        </w:rPr>
        <w:t>VVC</w:t>
      </w:r>
      <w:proofErr w:type="spellEnd"/>
      <w:r w:rsidR="00281290">
        <w:rPr>
          <w:rFonts w:ascii="Verdana" w:hAnsi="Verdana"/>
        </w:rPr>
        <w:t xml:space="preserve">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1107CC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223A56">
        <w:rPr>
          <w:b/>
          <w:i/>
        </w:rPr>
        <w:t>1</w:t>
      </w:r>
      <w:r w:rsidR="007B1B2E">
        <w:rPr>
          <w:b/>
          <w:i/>
        </w:rPr>
        <w:t>.0 and up</w:t>
      </w:r>
    </w:p>
    <w:p w14:paraId="24A74256" w14:textId="1AD012A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E0B58">
        <w:rPr>
          <w:b/>
          <w:i/>
        </w:rPr>
        <w:t>7</w:t>
      </w:r>
      <w:r w:rsidR="007B1B2E">
        <w:rPr>
          <w:b/>
          <w:i/>
        </w:rPr>
        <w:t>.</w:t>
      </w:r>
      <w:r w:rsidR="00223A56">
        <w:rPr>
          <w:b/>
          <w:i/>
        </w:rPr>
        <w:t>1</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45F19" w14:textId="77777777" w:rsidR="00603122" w:rsidRPr="009F58C4" w:rsidRDefault="00603122">
      <w:pPr>
        <w:rPr>
          <w:rFonts w:ascii="Arial" w:hAnsi="Arial" w:cs="Arial"/>
          <w:lang w:val="sq-AL"/>
        </w:rPr>
      </w:pPr>
      <w:r w:rsidRPr="009F58C4">
        <w:rPr>
          <w:rFonts w:ascii="Arial" w:hAnsi="Arial" w:cs="Arial"/>
          <w:lang w:val="sq-AL"/>
        </w:rPr>
        <w:separator/>
      </w:r>
    </w:p>
  </w:endnote>
  <w:endnote w:type="continuationSeparator" w:id="0">
    <w:p w14:paraId="45108427" w14:textId="77777777" w:rsidR="00603122" w:rsidRPr="009F58C4" w:rsidRDefault="0060312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281290"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27D0BBA6"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F1F3A">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603122"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9ED0D" w14:textId="77777777" w:rsidR="00603122" w:rsidRPr="009F58C4" w:rsidRDefault="00603122">
      <w:pPr>
        <w:rPr>
          <w:rFonts w:ascii="Arial" w:hAnsi="Arial" w:cs="Arial"/>
          <w:lang w:val="sq-AL"/>
        </w:rPr>
      </w:pPr>
      <w:r w:rsidRPr="009F58C4">
        <w:rPr>
          <w:rFonts w:ascii="Arial" w:hAnsi="Arial" w:cs="Arial"/>
          <w:lang w:val="sq-AL"/>
        </w:rPr>
        <w:separator/>
      </w:r>
    </w:p>
  </w:footnote>
  <w:footnote w:type="continuationSeparator" w:id="0">
    <w:p w14:paraId="7CD8BC49" w14:textId="77777777" w:rsidR="00603122" w:rsidRPr="009F58C4" w:rsidRDefault="0060312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1715</Words>
  <Characters>9090</Characters>
  <Application>Microsoft Office Word</Application>
  <DocSecurity>0</DocSecurity>
  <Lines>75</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10784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2020-05-08T10:22:00Z</dcterms:created>
  <dcterms:modified xsi:type="dcterms:W3CDTF">2020-05-08T10:22:00Z</dcterms:modified>
</cp:coreProperties>
</file>