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539BB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11DF1DAC" w14:textId="75454764" w:rsidR="00D10612" w:rsidRPr="00662DF1" w:rsidRDefault="00D10612" w:rsidP="00B42A1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gmii_read(GMII_VVCT, 1, RX, “</w:t>
            </w:r>
            <w:r w:rsidRPr="006E345A">
              <w:rPr>
                <w:rFonts w:cs="Helvetica"/>
                <w:b w:val="0"/>
                <w:bCs w:val="0"/>
                <w:sz w:val="16"/>
                <w:szCs w:val="32"/>
                <w:lang w:val="en-US"/>
              </w:rPr>
              <w:t>Read data which is stored in VVC and will be fetched later using fetch_result()</w:t>
            </w:r>
            <w:r w:rsidRPr="006E345A">
              <w:rPr>
                <w:rFonts w:cs="Helvetica"/>
                <w:b w:val="0"/>
                <w:bCs w:val="0"/>
                <w:sz w:val="16"/>
                <w:szCs w:val="32"/>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2402D5CC"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Pr>
                <w:rFonts w:cs="Helvetica"/>
                <w:color w:val="FFFFFF"/>
                <w:szCs w:val="30"/>
              </w:rPr>
              <w:t>, [scope, [alert_level]]</w:t>
            </w:r>
            <w:r w:rsidRPr="00662DF1">
              <w:rPr>
                <w:rFonts w:cs="Helvetica"/>
                <w:color w:val="FFFFFF"/>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6413777A">
            <wp:simplePos x="0" y="0"/>
            <wp:positionH relativeFrom="margin">
              <wp:posOffset>8793540</wp:posOffset>
            </wp:positionH>
            <wp:positionV relativeFrom="paragraph">
              <wp:posOffset>356235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444385D6" w14:textId="77777777" w:rsidR="00E0621D"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6D723649" w14:textId="77777777" w:rsidR="00E0621D" w:rsidRPr="00D90288" w:rsidRDefault="00E0621D" w:rsidP="00E0621D">
            <w:pPr>
              <w:tabs>
                <w:tab w:val="left" w:pos="4820"/>
              </w:tabs>
              <w:spacing w:line="276" w:lineRule="auto"/>
              <w:rPr>
                <w:sz w:val="15"/>
              </w:rPr>
            </w:pP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31CCF1FF"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Pr>
                <w:rFonts w:cs="Helvetica"/>
                <w:b/>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77777777"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39DC0976" w14:textId="71DD85C3" w:rsidR="008E78D2"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6871C48A" w14:textId="77777777" w:rsidR="00356047" w:rsidRPr="009C4146" w:rsidRDefault="00356047" w:rsidP="00610CB2">
            <w:pPr>
              <w:tabs>
                <w:tab w:val="left" w:pos="4820"/>
              </w:tabs>
              <w:spacing w:line="276" w:lineRule="auto"/>
              <w:rPr>
                <w:rFonts w:cs="Helvetica"/>
                <w:sz w:val="15"/>
                <w:szCs w:val="15"/>
              </w:rPr>
            </w:pP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3A9BCD5E"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xml:space="preserve">, [scope, </w:t>
            </w:r>
            <w:r w:rsidRPr="00BA1159">
              <w:rPr>
                <w:rFonts w:cs="Helvetica"/>
                <w:b/>
                <w:sz w:val="15"/>
                <w:szCs w:val="15"/>
              </w:rPr>
              <w:t>[aler</w:t>
            </w:r>
            <w:r>
              <w:rPr>
                <w:rFonts w:cs="Helvetica"/>
                <w:b/>
                <w:sz w:val="15"/>
                <w:szCs w:val="15"/>
              </w:rPr>
              <w:t>t</w:t>
            </w:r>
            <w:r w:rsidRPr="00BA1159">
              <w:rPr>
                <w:rFonts w:cs="Helvetica"/>
                <w:b/>
                <w:sz w:val="15"/>
                <w:szCs w:val="15"/>
              </w:rPr>
              <w:t>_level</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71F3CC13" w14:textId="1EF3EF08" w:rsidR="00BE321C" w:rsidRDefault="00BE321C" w:rsidP="00BE321C">
      <w:pPr>
        <w:pStyle w:val="Brdteks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3F3E2AB5" w14:textId="094E0E94" w:rsidR="00604608" w:rsidRDefault="00045272" w:rsidP="00DE7C56">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0678A8F2" w14:textId="347D9DF3" w:rsidR="00E72C4C" w:rsidRDefault="00E72C4C">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1F2C1FFD"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B4DC8">
        <w:rPr>
          <w:b/>
          <w:i/>
        </w:rPr>
        <w:t>2</w:t>
      </w:r>
      <w:r w:rsidR="007B1B2E">
        <w:rPr>
          <w:b/>
          <w:i/>
        </w:rPr>
        <w:t>.0 and up</w:t>
      </w:r>
    </w:p>
    <w:p w14:paraId="24A74256" w14:textId="31113C93"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9D3356">
        <w:rPr>
          <w:b/>
          <w:i/>
        </w:rPr>
        <w:t>7</w:t>
      </w:r>
      <w:r w:rsidR="007B1B2E">
        <w:rPr>
          <w:b/>
          <w:i/>
        </w:rPr>
        <w:t>.</w:t>
      </w:r>
      <w:r w:rsidR="005B4DC8">
        <w:rPr>
          <w:b/>
          <w:i/>
        </w:rPr>
        <w:t>3</w:t>
      </w:r>
      <w:bookmarkStart w:id="2" w:name="_GoBack"/>
      <w:bookmarkEnd w:id="2"/>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08FA4" w14:textId="77777777" w:rsidR="008E02CD" w:rsidRPr="009F58C4" w:rsidRDefault="008E02CD">
      <w:pPr>
        <w:rPr>
          <w:rFonts w:ascii="Arial" w:hAnsi="Arial" w:cs="Arial"/>
          <w:lang w:val="sq-AL"/>
        </w:rPr>
      </w:pPr>
      <w:r w:rsidRPr="009F58C4">
        <w:rPr>
          <w:rFonts w:ascii="Arial" w:hAnsi="Arial" w:cs="Arial"/>
          <w:lang w:val="sq-AL"/>
        </w:rPr>
        <w:separator/>
      </w:r>
    </w:p>
  </w:endnote>
  <w:endnote w:type="continuationSeparator" w:id="0">
    <w:p w14:paraId="244B15B4" w14:textId="77777777" w:rsidR="008E02CD" w:rsidRPr="009F58C4" w:rsidRDefault="008E02C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D10612"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327A22A"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30A94">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03BF0">
            <w:rPr>
              <w:rFonts w:ascii="Helvetica" w:hAnsi="Helvetica" w:cs="Arial"/>
              <w:noProof/>
              <w:color w:val="1381C4"/>
              <w:sz w:val="14"/>
              <w:lang w:val="en-US"/>
            </w:rPr>
            <w:t>2020-03-06</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8E02CD"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E3C32" w14:textId="77777777" w:rsidR="008E02CD" w:rsidRPr="009F58C4" w:rsidRDefault="008E02CD">
      <w:pPr>
        <w:rPr>
          <w:rFonts w:ascii="Arial" w:hAnsi="Arial" w:cs="Arial"/>
          <w:lang w:val="sq-AL"/>
        </w:rPr>
      </w:pPr>
      <w:r w:rsidRPr="009F58C4">
        <w:rPr>
          <w:rFonts w:ascii="Arial" w:hAnsi="Arial" w:cs="Arial"/>
          <w:lang w:val="sq-AL"/>
        </w:rPr>
        <w:separator/>
      </w:r>
    </w:p>
  </w:footnote>
  <w:footnote w:type="continuationSeparator" w:id="0">
    <w:p w14:paraId="023BF573" w14:textId="77777777" w:rsidR="008E02CD" w:rsidRPr="009F58C4" w:rsidRDefault="008E02C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8E02CD">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8E02CD"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8E02CD"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D229C-518C-F74F-B6A1-BA18ECD6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1994</Words>
  <Characters>10569</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12538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2020-03-06T08:18:00Z</dcterms:created>
  <dcterms:modified xsi:type="dcterms:W3CDTF">2020-03-06T08:18:00Z</dcterms:modified>
</cp:coreProperties>
</file>