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 xml:space="preserve">, </w:t>
            </w:r>
            <w:r w:rsidR="00BD3388" w:rsidRPr="00662DF1">
              <w:rPr>
                <w:rFonts w:cs="Helvetica"/>
                <w:color w:val="FFFFFF"/>
                <w:szCs w:val="30"/>
              </w:rPr>
              <w:t>msg</w:t>
            </w:r>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Pr>
                <w:rFonts w:ascii="Courier New" w:hAnsi="Courier New" w:cs="Courier New"/>
                <w:sz w:val="15"/>
              </w:rPr>
              <w:t>byte</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 msg</w:t>
            </w:r>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55ED6C7D" w14:textId="24BCD1D2"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r w:rsidRPr="00D20FC6">
        <w:rPr>
          <w:rFonts w:ascii="Consolas" w:hAnsi="Consolas"/>
        </w:rPr>
        <w:t>activity_watchdog(</w:t>
      </w:r>
      <w:r>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t_byte_array(0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15D6034F"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0760" w14:textId="77777777" w:rsidR="00AE0E79" w:rsidRPr="009F58C4" w:rsidRDefault="00AE0E79">
      <w:pPr>
        <w:rPr>
          <w:rFonts w:ascii="Arial" w:hAnsi="Arial" w:cs="Arial"/>
          <w:lang w:val="sq-AL"/>
        </w:rPr>
      </w:pPr>
      <w:r w:rsidRPr="009F58C4">
        <w:rPr>
          <w:rFonts w:ascii="Arial" w:hAnsi="Arial" w:cs="Arial"/>
          <w:lang w:val="sq-AL"/>
        </w:rPr>
        <w:separator/>
      </w:r>
    </w:p>
  </w:endnote>
  <w:endnote w:type="continuationSeparator" w:id="0">
    <w:p w14:paraId="3A3BAF7D" w14:textId="77777777" w:rsidR="00AE0E79" w:rsidRPr="009F58C4" w:rsidRDefault="00AE0E7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923FD"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069D106"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93207">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752126"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84960" w14:textId="77777777" w:rsidR="00AE0E79" w:rsidRPr="009F58C4" w:rsidRDefault="00AE0E79">
      <w:pPr>
        <w:rPr>
          <w:rFonts w:ascii="Arial" w:hAnsi="Arial" w:cs="Arial"/>
          <w:lang w:val="sq-AL"/>
        </w:rPr>
      </w:pPr>
      <w:r w:rsidRPr="009F58C4">
        <w:rPr>
          <w:rFonts w:ascii="Arial" w:hAnsi="Arial" w:cs="Arial"/>
          <w:lang w:val="sq-AL"/>
        </w:rPr>
        <w:separator/>
      </w:r>
    </w:p>
  </w:footnote>
  <w:footnote w:type="continuationSeparator" w:id="0">
    <w:p w14:paraId="2CE67975" w14:textId="77777777" w:rsidR="00AE0E79" w:rsidRPr="009F58C4" w:rsidRDefault="00AE0E7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E276F" w14:textId="78D54BA3" w:rsidR="00182540" w:rsidRDefault="00AE0E79">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6AB1A7CA" w:rsidR="00E42A3B" w:rsidRDefault="00AE0E79" w:rsidP="000308F1">
    <w:pPr>
      <w:pStyle w:val="Topptekst"/>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A4CD9E4" w:rsidR="00E42A3B" w:rsidRDefault="00AE0E79" w:rsidP="000308F1">
    <w:pPr>
      <w:pStyle w:val="Topptekst"/>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3207"/>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2385</Words>
  <Characters>12641</Characters>
  <Application>Microsoft Office Word</Application>
  <DocSecurity>0</DocSecurity>
  <Lines>105</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14997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2020-05-04T04:34:00Z</dcterms:created>
  <dcterms:modified xsi:type="dcterms:W3CDTF">2020-05-04T04:34:00Z</dcterms:modified>
</cp:coreProperties>
</file>