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r w:rsidR="00BD3388" w:rsidRPr="00662DF1">
              <w:rPr>
                <w:rFonts w:cs="Helvetica"/>
                <w:color w:val="FFFFFF"/>
                <w:szCs w:val="30"/>
              </w:rPr>
              <w:t>msg</w:t>
            </w:r>
            <w:r>
              <w:rPr>
                <w:rFonts w:cs="Helvetica"/>
                <w:color w:val="FFFFFF"/>
                <w:szCs w:val="30"/>
              </w:rPr>
              <w:t>, [scope, [</w:t>
            </w:r>
            <w:proofErr w:type="spellStart"/>
            <w:r>
              <w:rPr>
                <w:rFonts w:cs="Helvetica"/>
                <w:color w:val="FFFFFF"/>
                <w:szCs w:val="30"/>
              </w:rPr>
              <w:t>use_provided_msg_id_panel</w:t>
            </w:r>
            <w:proofErr w:type="spellEnd"/>
            <w:r>
              <w:rPr>
                <w:rFonts w:cs="Helvetica"/>
                <w:color w:val="FFFFFF"/>
                <w:szCs w:val="30"/>
              </w:rPr>
              <w:t>, [</w:t>
            </w:r>
            <w:proofErr w:type="spellStart"/>
            <w:r>
              <w:rPr>
                <w:rFonts w:cs="Helvetica"/>
                <w:color w:val="FFFFFF"/>
                <w:szCs w:val="30"/>
              </w:rPr>
              <w:t>msg_id_panel</w:t>
            </w:r>
            <w:proofErr w:type="spellEnd"/>
            <w:r>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E42A3B">
              <w:rPr>
                <w:rFonts w:cs="Helvetica"/>
                <w:b w:val="0"/>
                <w:bCs w:val="0"/>
                <w:sz w:val="15"/>
                <w:szCs w:val="28"/>
              </w:rPr>
              <w:t>GMII</w:t>
            </w:r>
            <w:r w:rsidR="00B30674" w:rsidRPr="00B30674">
              <w:rPr>
                <w:rFonts w:cs="Helvetica"/>
                <w:b w:val="0"/>
                <w:bCs w:val="0"/>
                <w:sz w:val="15"/>
                <w:szCs w:val="28"/>
              </w:rPr>
              <w:t xml:space="preserve">_VVCT, 1, </w:t>
            </w:r>
            <w:r w:rsidR="00BF62C9">
              <w:rPr>
                <w:rFonts w:cs="Helvetica"/>
                <w:b w:val="0"/>
                <w:bCs w:val="0"/>
                <w:sz w:val="15"/>
                <w:szCs w:val="28"/>
              </w:rPr>
              <w:t>TX</w:t>
            </w:r>
            <w:r w:rsidR="00B30674" w:rsidRPr="00B30674">
              <w:rPr>
                <w:rFonts w:cs="Helvetica"/>
                <w:b w:val="0"/>
                <w:bCs w:val="0"/>
                <w:sz w:val="15"/>
                <w:szCs w:val="28"/>
              </w:rPr>
              <w:t xml:space="preserve">, </w:t>
            </w:r>
            <w:proofErr w:type="spellStart"/>
            <w:r w:rsidR="00BF62C9">
              <w:rPr>
                <w:rFonts w:cs="Helvetica"/>
                <w:b w:val="0"/>
                <w:bCs w:val="0"/>
                <w:sz w:val="15"/>
                <w:szCs w:val="28"/>
              </w:rPr>
              <w:t>v_write_bytes</w:t>
            </w:r>
            <w:proofErr w:type="spellEnd"/>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 </w:t>
            </w:r>
            <w:proofErr w:type="spellStart"/>
            <w:r w:rsidR="00BF62C9">
              <w:rPr>
                <w:rFonts w:cs="Helvetica"/>
                <w:color w:val="FFFFFF"/>
                <w:szCs w:val="30"/>
              </w:rPr>
              <w:t>num_bytes</w:t>
            </w:r>
            <w:proofErr w:type="spellEnd"/>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 [</w:t>
            </w:r>
            <w:proofErr w:type="spellStart"/>
            <w:r w:rsidR="00BF62C9" w:rsidRPr="00BF62C9">
              <w:rPr>
                <w:rFonts w:cs="Helvetica"/>
                <w:color w:val="FFFFFF"/>
                <w:szCs w:val="30"/>
              </w:rPr>
              <w:t>use_provided_msg_id_panel</w:t>
            </w:r>
            <w:proofErr w:type="spellEnd"/>
            <w:r w:rsidR="00BF62C9" w:rsidRPr="00BF62C9">
              <w:rPr>
                <w:rFonts w:cs="Helvetica"/>
                <w:color w:val="FFFFFF"/>
                <w:szCs w:val="30"/>
              </w:rPr>
              <w:t>, [</w:t>
            </w:r>
            <w:proofErr w:type="spellStart"/>
            <w:r w:rsidR="00BF62C9" w:rsidRPr="00BF62C9">
              <w:rPr>
                <w:rFonts w:cs="Helvetica"/>
                <w:color w:val="FFFFFF"/>
                <w:szCs w:val="30"/>
              </w:rPr>
              <w:t>msg_id_panel</w:t>
            </w:r>
            <w:proofErr w:type="spellEnd"/>
            <w:r w:rsidR="00BF62C9" w:rsidRPr="00BF62C9">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73325DD0"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E42A3B">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E42A3B">
        <w:trPr>
          <w:trHeight w:val="184"/>
          <w:jc w:val="center"/>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21E29">
        <w:trPr>
          <w:trHeight w:val="14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E42A3B">
        <w:trPr>
          <w:trHeight w:val="310"/>
          <w:jc w:val="center"/>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700" w:type="dxa"/>
            <w:tcBorders>
              <w:left w:val="nil"/>
              <w:bottom w:val="nil"/>
              <w:right w:val="nil"/>
            </w:tcBorders>
            <w:shd w:val="clear" w:color="auto" w:fill="auto"/>
          </w:tcPr>
          <w:p w14:paraId="45FE7DDC" w14:textId="336B36E3"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lastRenderedPageBreak/>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B30674">
              <w:rPr>
                <w:rFonts w:cs="Helvetica"/>
                <w:sz w:val="15"/>
              </w:rPr>
              <w:t>3</w:t>
            </w:r>
            <w:r w:rsidR="0021717D" w:rsidRPr="00662DF1">
              <w:rPr>
                <w:rFonts w:cs="Helvetica"/>
                <w:sz w:val="15"/>
              </w:rPr>
              <w:t>”</w:t>
            </w:r>
            <w:r>
              <w:rPr>
                <w:rFonts w:cs="Helvetica"/>
                <w:sz w:val="15"/>
              </w:rPr>
              <w:t xml:space="preserve">, </w:t>
            </w:r>
            <w:proofErr w:type="spellStart"/>
            <w:r>
              <w:rPr>
                <w:rFonts w:cs="Helvetica"/>
                <w:sz w:val="15"/>
              </w:rPr>
              <w:t>x”DA</w:t>
            </w:r>
            <w:proofErr w:type="spellEnd"/>
            <w:r>
              <w:rPr>
                <w:rFonts w:cs="Helvetica"/>
                <w:sz w:val="15"/>
              </w:rPr>
              <w:t>”,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proofErr w:type="spellStart"/>
            <w:r w:rsidRPr="00286851">
              <w:rPr>
                <w:rFonts w:cs="Helvetica"/>
                <w:color w:val="000000" w:themeColor="text1"/>
                <w:sz w:val="15"/>
              </w:rPr>
              <w:t>use_provided_msg_id_panel</w:t>
            </w:r>
            <w:proofErr w:type="spellEnd"/>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proofErr w:type="spellStart"/>
            <w:r w:rsidRPr="00286851">
              <w:rPr>
                <w:rFonts w:cs="Helvetica"/>
                <w:color w:val="000000" w:themeColor="text1"/>
                <w:sz w:val="15"/>
              </w:rPr>
              <w:t>t_use_provided_msg_id_panel</w:t>
            </w:r>
            <w:proofErr w:type="spellEnd"/>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 xml:space="preserve">Enables or disables the provided </w:t>
            </w:r>
            <w:proofErr w:type="spellStart"/>
            <w:r>
              <w:rPr>
                <w:rFonts w:cs="Helvetica"/>
                <w:color w:val="000000" w:themeColor="text1"/>
                <w:sz w:val="15"/>
              </w:rPr>
              <w:t>msg_id_panel</w:t>
            </w:r>
            <w:proofErr w:type="spellEnd"/>
            <w:r>
              <w:rPr>
                <w:rFonts w:cs="Helvetica"/>
                <w:color w:val="000000" w:themeColor="text1"/>
                <w:sz w:val="15"/>
              </w:rPr>
              <w:t>.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msg_id_panel</w:t>
            </w:r>
            <w:proofErr w:type="spellEnd"/>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proofErr w:type="spellStart"/>
            <w:r>
              <w:rPr>
                <w:rFonts w:cs="Helvetica"/>
                <w:color w:val="000000" w:themeColor="text1"/>
                <w:sz w:val="15"/>
              </w:rPr>
              <w:t>t_msg_id_panel</w:t>
            </w:r>
            <w:proofErr w:type="spellEnd"/>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proofErr w:type="spellStart"/>
            <w:r>
              <w:rPr>
                <w:rFonts w:cs="Helvetica"/>
                <w:color w:val="000000" w:themeColor="text1"/>
                <w:sz w:val="15"/>
              </w:rPr>
              <w:t>shared_msg_id_panel</w:t>
            </w:r>
            <w:proofErr w:type="spellEnd"/>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 xml:space="preserve">Optional </w:t>
            </w:r>
            <w:proofErr w:type="spellStart"/>
            <w:r w:rsidRPr="00286851">
              <w:rPr>
                <w:rFonts w:cs="Helvetica"/>
                <w:color w:val="000000" w:themeColor="text1"/>
                <w:sz w:val="15"/>
              </w:rPr>
              <w:t>msg_id_panel</w:t>
            </w:r>
            <w:proofErr w:type="spellEnd"/>
            <w:r w:rsidRPr="00286851">
              <w:rPr>
                <w:rFonts w:cs="Helvetica"/>
                <w:color w:val="000000" w:themeColor="text1"/>
                <w:sz w:val="15"/>
              </w:rPr>
              <w:t>, controlling verbosity within a specified scope. Default</w:t>
            </w:r>
            <w:r w:rsidR="00900ACC">
              <w:rPr>
                <w:rFonts w:cs="Helvetica"/>
                <w:color w:val="000000" w:themeColor="text1"/>
                <w:sz w:val="15"/>
              </w:rPr>
              <w:t xml:space="preserve"> </w:t>
            </w:r>
            <w:proofErr w:type="spellStart"/>
            <w:r w:rsidR="00900ACC">
              <w:rPr>
                <w:rFonts w:cs="Helvetica"/>
                <w:color w:val="000000" w:themeColor="text1"/>
                <w:sz w:val="15"/>
              </w:rPr>
              <w:t>shared_msg_id_panel</w:t>
            </w:r>
            <w:proofErr w:type="spellEnd"/>
            <w:r w:rsidR="00900ACC">
              <w:rPr>
                <w:rFonts w:cs="Helvetica"/>
                <w:color w:val="000000" w:themeColor="text1"/>
                <w:sz w:val="15"/>
              </w:rPr>
              <w: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gmii_to_dut_if</w:t>
            </w:r>
            <w:proofErr w:type="spellEnd"/>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proofErr w:type="spellStart"/>
            <w:r>
              <w:rPr>
                <w:rFonts w:cs="Helvetica"/>
                <w:sz w:val="15"/>
              </w:rPr>
              <w:t>t_gmii_to_dut_if</w:t>
            </w:r>
            <w:proofErr w:type="spellEnd"/>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proofErr w:type="spellStart"/>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roofErr w:type="spellEnd"/>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5675E0">
              <w:rPr>
                <w:rFonts w:cs="Helvetica"/>
                <w:b/>
                <w:sz w:val="15"/>
                <w:szCs w:val="15"/>
              </w:rPr>
              <w:t>_</w:t>
            </w:r>
            <w:proofErr w:type="gramStart"/>
            <w:r w:rsidR="00B55F73" w:rsidRPr="005675E0">
              <w:rPr>
                <w:rFonts w:cs="Helvetica"/>
                <w:b/>
                <w:sz w:val="15"/>
                <w:szCs w:val="15"/>
              </w:rPr>
              <w:t>write</w:t>
            </w:r>
            <w:proofErr w:type="spellEnd"/>
            <w:r w:rsidR="00B55F73" w:rsidRPr="005675E0">
              <w:rPr>
                <w:rFonts w:cs="Helvetica"/>
                <w:b/>
                <w:sz w:val="15"/>
                <w:szCs w:val="15"/>
              </w:rPr>
              <w:t>(</w:t>
            </w:r>
            <w:proofErr w:type="gramEnd"/>
            <w:r w:rsidR="00357096" w:rsidRPr="00357096">
              <w:rPr>
                <w:rFonts w:cs="Helvetica"/>
                <w:b/>
                <w:sz w:val="15"/>
                <w:szCs w:val="15"/>
              </w:rPr>
              <w:t xml:space="preserve">VVCT, </w:t>
            </w:r>
            <w:proofErr w:type="spellStart"/>
            <w:r w:rsidR="00357096" w:rsidRPr="00357096">
              <w:rPr>
                <w:rFonts w:cs="Helvetica"/>
                <w:b/>
                <w:sz w:val="15"/>
                <w:szCs w:val="15"/>
              </w:rPr>
              <w:t>vvc_instance_idx</w:t>
            </w:r>
            <w:proofErr w:type="spellEnd"/>
            <w:r w:rsidR="00357096" w:rsidRPr="00357096">
              <w:rPr>
                <w:rFonts w:cs="Helvetica"/>
                <w:b/>
                <w:sz w:val="15"/>
                <w:szCs w:val="15"/>
              </w:rPr>
              <w:t>, channel, data, msg,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E42A3B">
              <w:rPr>
                <w:rFonts w:cs="Helvetica"/>
                <w:sz w:val="15"/>
                <w:szCs w:val="15"/>
              </w:rPr>
              <w:t>GMII</w:t>
            </w:r>
            <w:r w:rsidR="007907CF" w:rsidRPr="009C4146">
              <w:rPr>
                <w:rFonts w:cs="Helvetica"/>
                <w:sz w:val="15"/>
                <w:szCs w:val="15"/>
              </w:rPr>
              <w:t xml:space="preserve"> BFM </w:t>
            </w:r>
            <w:proofErr w:type="spellStart"/>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E42A3B">
              <w:rPr>
                <w:rFonts w:cs="Helvetica"/>
                <w:sz w:val="15"/>
                <w:szCs w:val="15"/>
              </w:rPr>
              <w:t>GMII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42A3B">
              <w:rPr>
                <w:rFonts w:ascii="Courier New" w:hAnsi="Courier New" w:cs="Courier New"/>
                <w:sz w:val="15"/>
                <w:szCs w:val="15"/>
              </w:rPr>
              <w:t>gmii</w:t>
            </w:r>
            <w:r w:rsidR="005675E0" w:rsidRPr="00B55F73">
              <w:rPr>
                <w:rFonts w:ascii="Courier New" w:hAnsi="Courier New" w:cs="Courier New"/>
                <w:sz w:val="15"/>
                <w:szCs w:val="15"/>
              </w:rPr>
              <w:t>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E42A3B">
              <w:rPr>
                <w:rFonts w:ascii="Courier New" w:hAnsi="Courier New" w:cs="Courier New"/>
                <w:sz w:val="15"/>
                <w:szCs w:val="15"/>
              </w:rPr>
              <w:t>GMII</w:t>
            </w:r>
            <w:r w:rsidR="00400333" w:rsidRPr="00B55F73">
              <w:rPr>
                <w:rFonts w:ascii="Courier New" w:hAnsi="Courier New" w:cs="Courier New"/>
                <w:sz w:val="15"/>
                <w:szCs w:val="15"/>
              </w:rPr>
              <w:t>_VVCT,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proofErr w:type="spellStart"/>
            <w:r w:rsidR="005A767B">
              <w:rPr>
                <w:rFonts w:ascii="Courier New" w:hAnsi="Courier New" w:cs="Courier New"/>
                <w:sz w:val="15"/>
                <w:szCs w:val="15"/>
              </w:rPr>
              <w:t>v_write_bytes</w:t>
            </w:r>
            <w:proofErr w:type="spellEnd"/>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proofErr w:type="spellStart"/>
            <w:r>
              <w:rPr>
                <w:rFonts w:cs="Helvetica"/>
                <w:b/>
                <w:sz w:val="15"/>
                <w:szCs w:val="15"/>
              </w:rPr>
              <w:t>gmii</w:t>
            </w:r>
            <w:r w:rsidR="00B55F73" w:rsidRPr="00610CB2">
              <w:rPr>
                <w:rFonts w:cs="Helvetica"/>
                <w:b/>
                <w:sz w:val="15"/>
                <w:szCs w:val="15"/>
              </w:rPr>
              <w:t>_read</w:t>
            </w:r>
            <w:proofErr w:type="spellEnd"/>
            <w:r w:rsidR="00B55F73" w:rsidRPr="00610CB2">
              <w:rPr>
                <w:rFonts w:cs="Helvetica"/>
                <w:b/>
                <w:sz w:val="15"/>
                <w:szCs w:val="15"/>
              </w:rPr>
              <w:t xml:space="preserve"> (</w:t>
            </w:r>
            <w:r w:rsidR="00357096" w:rsidRPr="00357096">
              <w:rPr>
                <w:rFonts w:cs="Helvetica"/>
                <w:b/>
                <w:sz w:val="15"/>
                <w:szCs w:val="15"/>
              </w:rPr>
              <w:t xml:space="preserve">VVCT, </w:t>
            </w:r>
            <w:proofErr w:type="spellStart"/>
            <w:r w:rsidR="00357096" w:rsidRPr="00357096">
              <w:rPr>
                <w:rFonts w:cs="Helvetica"/>
                <w:b/>
                <w:sz w:val="15"/>
                <w:szCs w:val="15"/>
              </w:rPr>
              <w:t>vvc_instance_idx</w:t>
            </w:r>
            <w:proofErr w:type="spellEnd"/>
            <w:r w:rsidR="00357096" w:rsidRPr="00357096">
              <w:rPr>
                <w:rFonts w:cs="Helvetica"/>
                <w:b/>
                <w:sz w:val="15"/>
                <w:szCs w:val="15"/>
              </w:rPr>
              <w:t xml:space="preserve">, channel, </w:t>
            </w:r>
            <w:proofErr w:type="spellStart"/>
            <w:r w:rsidR="00357096" w:rsidRPr="00357096">
              <w:rPr>
                <w:rFonts w:cs="Helvetica"/>
                <w:b/>
                <w:sz w:val="15"/>
                <w:szCs w:val="15"/>
              </w:rPr>
              <w:t>num_bytes</w:t>
            </w:r>
            <w:proofErr w:type="spellEnd"/>
            <w:r w:rsidR="00357096" w:rsidRPr="00357096">
              <w:rPr>
                <w:rFonts w:cs="Helvetica"/>
                <w:b/>
                <w:sz w:val="15"/>
                <w:szCs w:val="15"/>
              </w:rPr>
              <w:t>, msg, [scope, [</w:t>
            </w:r>
            <w:proofErr w:type="spellStart"/>
            <w:r w:rsidR="00357096" w:rsidRPr="00357096">
              <w:rPr>
                <w:rFonts w:cs="Helvetica"/>
                <w:b/>
                <w:sz w:val="15"/>
                <w:szCs w:val="15"/>
              </w:rPr>
              <w:t>use_provided_msg_id_panel</w:t>
            </w:r>
            <w:proofErr w:type="spellEnd"/>
            <w:r w:rsidR="00357096" w:rsidRPr="00357096">
              <w:rPr>
                <w:rFonts w:cs="Helvetica"/>
                <w:b/>
                <w:sz w:val="15"/>
                <w:szCs w:val="15"/>
              </w:rPr>
              <w:t>, [</w:t>
            </w:r>
            <w:proofErr w:type="spellStart"/>
            <w:r w:rsidR="00357096" w:rsidRPr="00357096">
              <w:rPr>
                <w:rFonts w:cs="Helvetica"/>
                <w:b/>
                <w:sz w:val="15"/>
                <w:szCs w:val="15"/>
              </w:rPr>
              <w:t>msg_id_panel</w:t>
            </w:r>
            <w:proofErr w:type="spellEnd"/>
            <w:r w:rsidR="00357096" w:rsidRPr="00357096">
              <w:rPr>
                <w:rFonts w:cs="Helvetica"/>
                <w:b/>
                <w:sz w:val="15"/>
                <w:szCs w:val="15"/>
              </w:rPr>
              <w:t>]]]</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sidR="00E42A3B">
              <w:rPr>
                <w:rFonts w:cs="Helvetica"/>
                <w:sz w:val="15"/>
                <w:szCs w:val="15"/>
              </w:rPr>
              <w:t>GMII</w:t>
            </w:r>
            <w:r w:rsidR="00225726" w:rsidRPr="009C4146">
              <w:rPr>
                <w:rFonts w:cs="Helvetica"/>
                <w:sz w:val="15"/>
                <w:szCs w:val="15"/>
              </w:rPr>
              <w:t xml:space="preserve"> BFM </w:t>
            </w:r>
            <w:proofErr w:type="spellStart"/>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sidR="00E42A3B">
              <w:rPr>
                <w:rFonts w:cs="Helvetica"/>
                <w:sz w:val="15"/>
                <w:szCs w:val="15"/>
              </w:rPr>
              <w:t>GMII</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E42A3B">
              <w:rPr>
                <w:rFonts w:ascii="Courier New" w:hAnsi="Courier New" w:cs="Courier New"/>
                <w:sz w:val="15"/>
                <w:szCs w:val="28"/>
              </w:rPr>
              <w:t>gmii</w:t>
            </w:r>
            <w:r w:rsidR="00610CB2" w:rsidRPr="00B55F73">
              <w:rPr>
                <w:rFonts w:ascii="Courier New" w:hAnsi="Courier New" w:cs="Courier New"/>
                <w:sz w:val="15"/>
                <w:szCs w:val="28"/>
              </w:rPr>
              <w:t>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E42A3B">
              <w:rPr>
                <w:rFonts w:ascii="Courier New" w:hAnsi="Courier New" w:cs="Courier New"/>
                <w:sz w:val="15"/>
                <w:szCs w:val="15"/>
              </w:rPr>
              <w:t>gmii</w:t>
            </w:r>
            <w:r>
              <w:rPr>
                <w:rFonts w:ascii="Courier New" w:hAnsi="Courier New" w:cs="Courier New"/>
                <w:sz w:val="15"/>
                <w:szCs w:val="15"/>
              </w:rPr>
              <w:t>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5A767B" w:rsidRPr="005A767B">
              <w:rPr>
                <w:rFonts w:ascii="Courier New" w:hAnsi="Courier New" w:cs="Courier New"/>
                <w:sz w:val="15"/>
                <w:szCs w:val="15"/>
              </w:rPr>
              <w:t>get_last_received_cmd_idx</w:t>
            </w:r>
            <w:proofErr w:type="spellEnd"/>
            <w:r w:rsidR="005A767B" w:rsidRPr="005A767B">
              <w:rPr>
                <w:rFonts w:ascii="Courier New" w:hAnsi="Courier New" w:cs="Courier New"/>
                <w:sz w:val="15"/>
                <w:szCs w:val="15"/>
              </w:rPr>
              <w:t>(GMII_VVCT</w:t>
            </w:r>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E42A3B">
              <w:rPr>
                <w:rFonts w:cs="Helvetica"/>
                <w:sz w:val="15"/>
                <w:szCs w:val="18"/>
              </w:rPr>
              <w:t>gmii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1940091E"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4D7A6908" w14:textId="195E349F" w:rsidR="00B237D5" w:rsidRPr="00991C5F" w:rsidRDefault="00B237D5" w:rsidP="00B237D5">
      <w:pPr>
        <w:rPr>
          <w:rFonts w:ascii="Courier New" w:hAnsi="Courier New" w:cs="Courier New"/>
        </w:rPr>
      </w:pPr>
      <w:r>
        <w:t xml:space="preserve">In this VVC, the interface has been encapsulated in </w:t>
      </w:r>
      <w:r w:rsidR="00991C5F">
        <w:t>two</w:t>
      </w:r>
      <w:r>
        <w:t xml:space="preserve"> signal record</w:t>
      </w:r>
      <w:r w:rsidR="00991C5F">
        <w:t>s</w:t>
      </w:r>
      <w:r>
        <w:t xml:space="preserve"> of type </w:t>
      </w:r>
      <w:proofErr w:type="spellStart"/>
      <w:r>
        <w:rPr>
          <w:i/>
        </w:rPr>
        <w:t>t_</w:t>
      </w:r>
      <w:r w:rsidR="00E42A3B">
        <w:rPr>
          <w:i/>
        </w:rPr>
        <w:t>gmii</w:t>
      </w:r>
      <w:r>
        <w:rPr>
          <w:i/>
        </w:rPr>
        <w:t>_</w:t>
      </w:r>
      <w:r w:rsidR="00991C5F">
        <w:rPr>
          <w:i/>
        </w:rPr>
        <w:t>to_dut_</w:t>
      </w:r>
      <w:r>
        <w:rPr>
          <w:i/>
        </w:rPr>
        <w:t>if</w:t>
      </w:r>
      <w:proofErr w:type="spellEnd"/>
      <w:r w:rsidR="00991C5F">
        <w:rPr>
          <w:i/>
        </w:rPr>
        <w:t xml:space="preserve"> </w:t>
      </w:r>
      <w:r w:rsidR="00991C5F" w:rsidRPr="00991C5F">
        <w:t xml:space="preserve">for the </w:t>
      </w:r>
      <w:proofErr w:type="spellStart"/>
      <w:r w:rsidR="00245B19">
        <w:t>rx</w:t>
      </w:r>
      <w:proofErr w:type="spellEnd"/>
      <w:r w:rsidR="00245B19">
        <w:t>-</w:t>
      </w:r>
      <w:r w:rsidR="00991C5F" w:rsidRPr="00991C5F">
        <w:t>signals that goes to the DUT, and</w:t>
      </w:r>
      <w:r w:rsidR="00991C5F">
        <w:rPr>
          <w:i/>
        </w:rPr>
        <w:t xml:space="preserve"> </w:t>
      </w:r>
      <w:proofErr w:type="spellStart"/>
      <w:r w:rsidR="00991C5F">
        <w:rPr>
          <w:i/>
        </w:rPr>
        <w:t>t_gmii_from_dut</w:t>
      </w:r>
      <w:proofErr w:type="spellEnd"/>
      <w:r>
        <w:rPr>
          <w:i/>
        </w:rPr>
        <w:t xml:space="preserve"> </w:t>
      </w:r>
      <w:r w:rsidR="00991C5F">
        <w:t xml:space="preserve">for the </w:t>
      </w:r>
      <w:proofErr w:type="spellStart"/>
      <w:r w:rsidR="00245B19">
        <w:t>tx</w:t>
      </w:r>
      <w:proofErr w:type="spellEnd"/>
      <w:r w:rsidR="00245B19">
        <w:t>-</w:t>
      </w:r>
      <w:r w:rsidR="00991C5F">
        <w:t>signals that comes from the DUT in</w:t>
      </w:r>
      <w:r>
        <w:t xml:space="preserve"> order to improve readability of the code.</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7CA9DD8" w:rsidR="00604608" w:rsidRDefault="00604608" w:rsidP="00605841">
      <w:r>
        <w:t xml:space="preserve">For additional documentation on the </w:t>
      </w:r>
      <w:r w:rsidR="00E42A3B">
        <w:t>GMII</w:t>
      </w:r>
      <w:r w:rsidR="00605841">
        <w:t xml:space="preserve"> protocol, please see the </w:t>
      </w:r>
      <w:r w:rsidR="00E42A3B">
        <w:t>GMII</w:t>
      </w:r>
      <w:r w:rsidR="00605841">
        <w:t xml:space="preserve">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093B6226" w:rsidR="00604608" w:rsidRPr="009902B2" w:rsidRDefault="00E42A3B" w:rsidP="009902B2">
      <w:pPr>
        <w:pStyle w:val="ListParagraph"/>
        <w:numPr>
          <w:ilvl w:val="0"/>
          <w:numId w:val="40"/>
        </w:numPr>
        <w:rPr>
          <w:b/>
          <w:i/>
        </w:rPr>
      </w:pPr>
      <w:r>
        <w:rPr>
          <w:b/>
          <w:i/>
        </w:rPr>
        <w:t>GMII</w:t>
      </w:r>
      <w:r w:rsidR="00604608" w:rsidRPr="009902B2">
        <w:rPr>
          <w:b/>
          <w:i/>
        </w:rPr>
        <w:t xml:space="preserve"> BFM</w:t>
      </w:r>
    </w:p>
    <w:p w14:paraId="4203C629" w14:textId="77777777" w:rsidR="00604608" w:rsidRDefault="00604608" w:rsidP="00604608"/>
    <w:p w14:paraId="5A463C48" w14:textId="5E73D936"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receive_</w:t>
            </w:r>
            <w:r w:rsidRPr="009C4146">
              <w:rPr>
                <w:rFonts w:cs="Helvetica"/>
                <w:sz w:val="15"/>
              </w:rPr>
              <w:t>vvc.vhd</w:t>
            </w:r>
            <w:proofErr w:type="spellEnd"/>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w:t>
            </w:r>
            <w:r>
              <w:rPr>
                <w:rFonts w:cs="Helvetica"/>
                <w:sz w:val="15"/>
              </w:rPr>
              <w:t xml:space="preserve">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Pr>
                <w:rFonts w:cs="Helvetica"/>
                <w:sz w:val="15"/>
              </w:rPr>
              <w:t>transmit_</w:t>
            </w:r>
            <w:bookmarkStart w:id="2" w:name="_GoBack"/>
            <w:bookmarkEnd w:id="2"/>
            <w:r w:rsidRPr="009C4146">
              <w:rPr>
                <w:rFonts w:cs="Helvetica"/>
                <w:sz w:val="15"/>
              </w:rPr>
              <w:t>vvc.vhd</w:t>
            </w:r>
            <w:proofErr w:type="spellEnd"/>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w:t>
            </w:r>
            <w:r>
              <w:rPr>
                <w:rFonts w:cs="Helvetica"/>
                <w:sz w:val="15"/>
              </w:rPr>
              <w:t xml:space="preserve">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8EAE4" w14:textId="77777777" w:rsidR="00233F94" w:rsidRPr="009F58C4" w:rsidRDefault="00233F94">
      <w:pPr>
        <w:rPr>
          <w:rFonts w:ascii="Arial" w:hAnsi="Arial" w:cs="Arial"/>
          <w:lang w:val="sq-AL"/>
        </w:rPr>
      </w:pPr>
      <w:r w:rsidRPr="009F58C4">
        <w:rPr>
          <w:rFonts w:ascii="Arial" w:hAnsi="Arial" w:cs="Arial"/>
          <w:lang w:val="sq-AL"/>
        </w:rPr>
        <w:separator/>
      </w:r>
    </w:p>
  </w:endnote>
  <w:endnote w:type="continuationSeparator" w:id="0">
    <w:p w14:paraId="077F056A" w14:textId="77777777" w:rsidR="00233F94" w:rsidRPr="009F58C4" w:rsidRDefault="00233F9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E42A3B"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56D5D01"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2018-11-02</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E42A3B"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56B90" w14:textId="77777777" w:rsidR="00233F94" w:rsidRPr="009F58C4" w:rsidRDefault="00233F94">
      <w:pPr>
        <w:rPr>
          <w:rFonts w:ascii="Arial" w:hAnsi="Arial" w:cs="Arial"/>
          <w:lang w:val="sq-AL"/>
        </w:rPr>
      </w:pPr>
      <w:r w:rsidRPr="009F58C4">
        <w:rPr>
          <w:rFonts w:ascii="Arial" w:hAnsi="Arial" w:cs="Arial"/>
          <w:lang w:val="sq-AL"/>
        </w:rPr>
        <w:separator/>
      </w:r>
    </w:p>
  </w:footnote>
  <w:footnote w:type="continuationSeparator" w:id="0">
    <w:p w14:paraId="210F80B3" w14:textId="77777777" w:rsidR="00233F94" w:rsidRPr="009F58C4" w:rsidRDefault="00233F9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1C5F"/>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9DDB2-E124-40DF-B379-86E315BF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9455</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2018-11-02T15:44:00Z</dcterms:modified>
</cp:coreProperties>
</file>