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57E83CCD" w:rsidR="00683B24" w:rsidRDefault="00683B24" w:rsidP="00683B24">
      <w:r w:rsidRPr="00683B24">
        <w:t>For general information see UVVM Essential Mechanisms located in uvvm_vvc_framework/doc.</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9BE71DC"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 xml:space="preserve">VVCT, vvc_instance_idx,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18DD90E" w14:textId="7CC5175B"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gpio_get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 xml:space="preserve">_VVCT, 1, </w:t>
            </w:r>
            <w:r w:rsidR="00061C08">
              <w:rPr>
                <w:rFonts w:cs="Helvetica"/>
                <w:b w:val="0"/>
                <w:bCs w:val="0"/>
                <w:sz w:val="15"/>
                <w:szCs w:val="28"/>
              </w:rPr>
              <w:t>“Read baudrate”</w:t>
            </w:r>
            <w:r w:rsidRPr="00662DF1">
              <w:rPr>
                <w:rFonts w:cs="Helvetica"/>
                <w:b w:val="0"/>
                <w:bCs w:val="0"/>
                <w:sz w:val="15"/>
                <w:szCs w:val="28"/>
              </w:rPr>
              <w:t>);</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A22D3C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5A6BF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‘t_vvc_config’</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‘t_vvc_status’</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result_queue_count_max</w:t>
            </w:r>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result_queue_count_threshold_severity</w:t>
            </w:r>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w:t>
            </w:r>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1F790768" w:rsidR="0052516B" w:rsidRDefault="0052516B" w:rsidP="00F75738">
      <w:pPr>
        <w:tabs>
          <w:tab w:val="left" w:pos="851"/>
        </w:tabs>
        <w:rPr>
          <w:rFonts w:ascii="Verdana" w:hAnsi="Verdana"/>
          <w:sz w:val="22"/>
        </w:rPr>
      </w:pPr>
    </w:p>
    <w:p w14:paraId="7A5E27A7" w14:textId="7845481A" w:rsidR="0052516B" w:rsidRDefault="0052516B" w:rsidP="00F75738">
      <w:pPr>
        <w:tabs>
          <w:tab w:val="left" w:pos="851"/>
        </w:tabs>
        <w:rPr>
          <w:rFonts w:ascii="Verdana" w:hAnsi="Verdana"/>
          <w:sz w:val="22"/>
        </w:rPr>
      </w:pPr>
    </w:p>
    <w:p w14:paraId="640B8933" w14:textId="565101E4" w:rsidR="0052516B" w:rsidRDefault="00683B24"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1D5F11FB">
            <wp:simplePos x="0" y="0"/>
            <wp:positionH relativeFrom="margin">
              <wp:posOffset>8896985</wp:posOffset>
            </wp:positionH>
            <wp:positionV relativeFrom="paragraph">
              <wp:posOffset>50944</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r w:rsidR="00F9001D">
              <w:rPr>
                <w:rFonts w:cs="Helvetica"/>
                <w:sz w:val="15"/>
              </w:rPr>
              <w:t>gpio_set</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r>
              <w:rPr>
                <w:rFonts w:cs="Helvetica"/>
                <w:sz w:val="15"/>
              </w:rPr>
              <w:t xml:space="preserve"> or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r>
              <w:rPr>
                <w:rFonts w:cs="Helvetica"/>
                <w:sz w:val="15"/>
              </w:rPr>
              <w:t>t_g</w:t>
            </w:r>
            <w:r w:rsidR="006350DA">
              <w:rPr>
                <w:rFonts w:cs="Helvetica"/>
                <w:sz w:val="15"/>
              </w:rPr>
              <w:t>pi</w:t>
            </w:r>
            <w:r>
              <w:rPr>
                <w:rFonts w:cs="Helvetica"/>
                <w:sz w:val="15"/>
              </w:rPr>
              <w:t>o</w:t>
            </w:r>
            <w:r w:rsidR="006350DA">
              <w:rPr>
                <w:rFonts w:cs="Helvetica"/>
                <w:sz w:val="15"/>
              </w:rPr>
              <w:t>_if</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r w:rsidRPr="001D006A">
        <w:rPr>
          <w:sz w:val="40"/>
          <w:szCs w:val="40"/>
        </w:rPr>
        <w:lastRenderedPageBreak/>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6209708E" w14:textId="35CA2C1E" w:rsidR="00BF4840" w:rsidRPr="007F64D4" w:rsidRDefault="00BF4840" w:rsidP="00BF4840">
            <w:pPr>
              <w:tabs>
                <w:tab w:val="left" w:pos="4820"/>
              </w:tabs>
              <w:spacing w:line="276" w:lineRule="auto"/>
              <w:rPr>
                <w:rFonts w:cs="Helvetica"/>
                <w:sz w:val="12"/>
                <w:szCs w:val="12"/>
              </w:rPr>
            </w:pPr>
          </w:p>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216FEFB0"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r w:rsidR="007F64D4">
              <w:rPr>
                <w:rFonts w:ascii="Courier New" w:hAnsi="Courier New" w:cs="Courier New"/>
                <w:sz w:val="15"/>
                <w:szCs w:val="15"/>
              </w:rPr>
              <w:br/>
            </w:r>
            <w:r w:rsidR="007F64D4" w:rsidRPr="007F64D4">
              <w:rPr>
                <w:rFonts w:ascii="Courier New" w:hAnsi="Courier New" w:cs="Courier New"/>
                <w:sz w:val="12"/>
                <w:szCs w:val="12"/>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E88A4C7" w14:textId="77777777" w:rsidR="00BF4840" w:rsidRPr="007F64D4" w:rsidRDefault="00BF4840" w:rsidP="00BF4840">
            <w:pPr>
              <w:tabs>
                <w:tab w:val="left" w:pos="4820"/>
              </w:tabs>
              <w:spacing w:line="276" w:lineRule="auto"/>
              <w:rPr>
                <w:rFonts w:cs="Helvetica"/>
                <w:sz w:val="12"/>
                <w:szCs w:val="12"/>
              </w:rPr>
            </w:pPr>
          </w:p>
          <w:p w14:paraId="14E03C6C" w14:textId="6E9A102E"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5945E7F2" w14:textId="77777777" w:rsidR="00BF4840" w:rsidRPr="009C4146" w:rsidRDefault="00BF4840" w:rsidP="00BF4840">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E23CA00" w:rsidR="0056426E" w:rsidRPr="0056426E" w:rsidRDefault="0056426E" w:rsidP="007F64D4">
            <w:pPr>
              <w:tabs>
                <w:tab w:val="left" w:pos="4820"/>
              </w:tabs>
              <w:spacing w:line="276" w:lineRule="auto"/>
              <w:rPr>
                <w:rFonts w:cs="Helvetica"/>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7F64D4">
              <w:rPr>
                <w:rFonts w:ascii="Courier New" w:hAnsi="Courier New" w:cs="Courier New"/>
                <w:sz w:val="15"/>
                <w:szCs w:val="15"/>
              </w:rPr>
              <w:br/>
            </w:r>
            <w:r w:rsidR="007F64D4" w:rsidRPr="007F64D4">
              <w:rPr>
                <w:rFonts w:cs="Helvetica"/>
                <w:sz w:val="12"/>
                <w:szCs w:val="12"/>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7F64D4" w:rsidRDefault="00BF4840" w:rsidP="00BF4840">
            <w:pPr>
              <w:tabs>
                <w:tab w:val="left" w:pos="4820"/>
              </w:tabs>
              <w:rPr>
                <w:rFonts w:cs="Helvetica"/>
                <w:sz w:val="12"/>
                <w:szCs w:val="12"/>
              </w:rPr>
            </w:pPr>
          </w:p>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788DA252" w14:textId="0E8F1815"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w:t>
            </w:r>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p w14:paraId="6871C48A" w14:textId="229BA7BC" w:rsidR="00642EE5" w:rsidRPr="007F64D4" w:rsidRDefault="00642EE5" w:rsidP="0056426E">
            <w:pPr>
              <w:tabs>
                <w:tab w:val="left" w:pos="4820"/>
              </w:tabs>
              <w:spacing w:line="276" w:lineRule="auto"/>
              <w:rPr>
                <w:rFonts w:ascii="Courier New" w:hAnsi="Courier New" w:cs="Courier New"/>
                <w:sz w:val="12"/>
                <w:szCs w:val="12"/>
              </w:rPr>
            </w:pP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expect</w:t>
            </w:r>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FB313A">
              <w:rPr>
                <w:rFonts w:cs="Helvetica"/>
                <w:sz w:val="15"/>
                <w:szCs w:val="15"/>
              </w:rPr>
              <w:t>gpio_expect</w:t>
            </w:r>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r w:rsidR="00FB313A">
              <w:rPr>
                <w:rFonts w:cs="Helvetica"/>
                <w:sz w:val="15"/>
                <w:szCs w:val="15"/>
              </w:rPr>
              <w:t>expect</w:t>
            </w:r>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QuickRef.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r w:rsidR="00FB313A" w:rsidRPr="000112DA">
              <w:rPr>
                <w:rFonts w:ascii="Courier New" w:hAnsi="Courier New" w:cs="Courier New"/>
                <w:sz w:val="15"/>
                <w:szCs w:val="15"/>
              </w:rPr>
              <w:t>expect</w:t>
            </w:r>
            <w:r w:rsidR="00BF4840" w:rsidRPr="000112DA">
              <w:rPr>
                <w:rFonts w:ascii="Courier New" w:hAnsi="Courier New" w:cs="Courier New"/>
                <w:sz w:val="15"/>
                <w:szCs w:val="15"/>
              </w:rPr>
              <w:t>(</w:t>
            </w:r>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ms,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0F75A405" w:rsidR="007F64D4" w:rsidRDefault="007F64D4" w:rsidP="00B3773C">
      <w:pPr>
        <w:rPr>
          <w:rFonts w:ascii="Courier New" w:hAnsi="Courier New" w:cs="Courier New"/>
          <w:szCs w:val="18"/>
        </w:rPr>
      </w:pPr>
    </w:p>
    <w:p w14:paraId="2F221E4C" w14:textId="4AF11237" w:rsidR="00471AF8" w:rsidRDefault="00471AF8" w:rsidP="00B3773C">
      <w:pPr>
        <w:rPr>
          <w:rFonts w:ascii="Courier New" w:hAnsi="Courier New" w:cs="Courier New"/>
          <w:szCs w:val="18"/>
        </w:rPr>
      </w:pPr>
    </w:p>
    <w:p w14:paraId="1D54A232" w14:textId="77777777" w:rsidR="00471AF8" w:rsidRDefault="00471AF8"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1B896A5F" w:rsidR="00A96D85" w:rsidRDefault="00A96D85"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6895676" w14:textId="77777777" w:rsidR="00005477" w:rsidRDefault="00005477">
      <w:pPr>
        <w:rPr>
          <w:rFonts w:ascii="Verdana" w:hAnsi="Verdana"/>
          <w:szCs w:val="22"/>
        </w:rPr>
      </w:pP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09C322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2.2</w:t>
      </w:r>
      <w:r w:rsidR="007B1B2E">
        <w:rPr>
          <w:b/>
          <w:i/>
        </w:rPr>
        <w:t>.0 and up</w:t>
      </w:r>
    </w:p>
    <w:p w14:paraId="24A74256" w14:textId="44E9383F"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.1</w:t>
      </w:r>
      <w:r w:rsidR="007B1B2E">
        <w:rPr>
          <w:b/>
          <w:i/>
        </w:rPr>
        <w:t>.0 and up</w:t>
      </w:r>
    </w:p>
    <w:p w14:paraId="3FA89909" w14:textId="43C1EB66" w:rsidR="00604608" w:rsidRPr="009902B2"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4203C629" w14:textId="77777777" w:rsidR="00604608" w:rsidRDefault="00604608" w:rsidP="00604608"/>
    <w:p w14:paraId="25D5EF35" w14:textId="1DD8AD1B"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 and</w:t>
      </w:r>
      <w:r>
        <w:t xml:space="preserve"> uvvm_util have been compiled.</w:t>
      </w:r>
    </w:p>
    <w:p w14:paraId="1C75B642" w14:textId="6ADDC675" w:rsidR="00683B24" w:rsidRDefault="00683B24" w:rsidP="00604608"/>
    <w:p w14:paraId="59137774" w14:textId="39E9785B" w:rsidR="00683B24" w:rsidRDefault="00683B24" w:rsidP="00604608">
      <w:r w:rsidRPr="00683B2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AFB7182" w:rsidR="00604608" w:rsidRPr="009C4146" w:rsidRDefault="00604608" w:rsidP="00C44649">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604608" w:rsidRPr="009C4146" w:rsidRDefault="00005477" w:rsidP="007F1172">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43FADB6"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0810C46"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8D882E8"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668E5669"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6758C0" w:rsidRDefault="00005477">
            <w:pPr>
              <w:spacing w:line="276" w:lineRule="auto"/>
              <w:rPr>
                <w:rFonts w:cs="Helvetica"/>
                <w:sz w:val="15"/>
              </w:rPr>
            </w:pPr>
            <w:r>
              <w:rPr>
                <w:rFonts w:cs="Helvetica"/>
                <w:sz w:val="15"/>
              </w:rPr>
              <w:t>bitvis_vip_g</w:t>
            </w:r>
            <w:r w:rsidR="006758C0">
              <w:rPr>
                <w:rFonts w:cs="Helvetica"/>
                <w:sz w:val="15"/>
              </w:rPr>
              <w:t>pi</w:t>
            </w:r>
            <w:r>
              <w:rPr>
                <w:rFonts w:cs="Helvetica"/>
                <w:sz w:val="15"/>
              </w:rPr>
              <w:t>o</w:t>
            </w:r>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2059FB17"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5679F96A"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1BC547C5" w:rsidR="00510784" w:rsidRPr="009C4146" w:rsidRDefault="00510784"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bottom w:val="nil"/>
              <w:right w:val="nil"/>
            </w:tcBorders>
            <w:shd w:val="clear" w:color="auto" w:fill="auto"/>
          </w:tcPr>
          <w:p w14:paraId="66D99E99" w14:textId="727BC298" w:rsidR="00510784" w:rsidRPr="009C4146" w:rsidRDefault="00005477" w:rsidP="00510784">
            <w:pPr>
              <w:spacing w:line="276" w:lineRule="auto"/>
              <w:rPr>
                <w:rFonts w:cs="Helvetica"/>
                <w:sz w:val="15"/>
              </w:rPr>
            </w:pPr>
            <w:r>
              <w:rPr>
                <w:rFonts w:cs="Helvetica"/>
                <w:sz w:val="15"/>
              </w:rPr>
              <w:t>gp</w:t>
            </w:r>
            <w:r w:rsidR="00D415BF">
              <w:rPr>
                <w:rFonts w:cs="Helvetica"/>
                <w:sz w:val="15"/>
              </w:rPr>
              <w:t>i</w:t>
            </w:r>
            <w:r>
              <w:rPr>
                <w:rFonts w:cs="Helvetica"/>
                <w:sz w:val="15"/>
              </w:rPr>
              <w:t>o</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10FA21EE" w:rsidR="00510784" w:rsidRPr="009C4146" w:rsidRDefault="00E76332" w:rsidP="007F1172">
            <w:pPr>
              <w:spacing w:line="276" w:lineRule="auto"/>
              <w:rPr>
                <w:rFonts w:cs="Helvetica"/>
                <w:sz w:val="15"/>
              </w:rPr>
            </w:pPr>
            <w:r>
              <w:rPr>
                <w:rFonts w:cs="Helvetica"/>
                <w:sz w:val="15"/>
              </w:rPr>
              <w:t>GPIO</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5DF83B97" w14:textId="46D244DF" w:rsidR="00604608" w:rsidRPr="00532952" w:rsidRDefault="00604608" w:rsidP="009902B2">
      <w:bookmarkStart w:id="2" w:name="_GoBack"/>
      <w:bookmarkEnd w:id="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1AA60064" w14:textId="77777777" w:rsidR="00CB3FA8" w:rsidRPr="00532952" w:rsidRDefault="00CB3FA8" w:rsidP="00532952"/>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01D12" w14:textId="77777777" w:rsidR="008B586F" w:rsidRPr="009F58C4" w:rsidRDefault="008B586F">
      <w:pPr>
        <w:rPr>
          <w:rFonts w:ascii="Arial" w:hAnsi="Arial" w:cs="Arial"/>
          <w:lang w:val="sq-AL"/>
        </w:rPr>
      </w:pPr>
      <w:r w:rsidRPr="009F58C4">
        <w:rPr>
          <w:rFonts w:ascii="Arial" w:hAnsi="Arial" w:cs="Arial"/>
          <w:lang w:val="sq-AL"/>
        </w:rPr>
        <w:separator/>
      </w:r>
    </w:p>
  </w:endnote>
  <w:endnote w:type="continuationSeparator" w:id="0">
    <w:p w14:paraId="79DD6BF2" w14:textId="77777777" w:rsidR="008B586F" w:rsidRPr="009F58C4" w:rsidRDefault="008B586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471AF8"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4B86DA68"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C4735B">
            <w:rPr>
              <w:rFonts w:ascii="Helvetica" w:hAnsi="Helvetica" w:cs="Arial"/>
              <w:b/>
              <w:color w:val="1381C4"/>
              <w:sz w:val="14"/>
              <w:lang w:val="sq-AL"/>
            </w:rPr>
            <w:t>3</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71AF8">
            <w:rPr>
              <w:rFonts w:ascii="Helvetica" w:hAnsi="Helvetica" w:cs="Arial"/>
              <w:noProof/>
              <w:color w:val="1381C4"/>
              <w:sz w:val="14"/>
              <w:lang w:val="en-US"/>
            </w:rPr>
            <w:t>2019-06-07</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8B586F"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48238" w14:textId="77777777" w:rsidR="008B586F" w:rsidRPr="009F58C4" w:rsidRDefault="008B586F">
      <w:pPr>
        <w:rPr>
          <w:rFonts w:ascii="Arial" w:hAnsi="Arial" w:cs="Arial"/>
          <w:lang w:val="sq-AL"/>
        </w:rPr>
      </w:pPr>
      <w:r w:rsidRPr="009F58C4">
        <w:rPr>
          <w:rFonts w:ascii="Arial" w:hAnsi="Arial" w:cs="Arial"/>
          <w:lang w:val="sq-AL"/>
        </w:rPr>
        <w:separator/>
      </w:r>
    </w:p>
  </w:footnote>
  <w:footnote w:type="continuationSeparator" w:id="0">
    <w:p w14:paraId="65886B7D" w14:textId="77777777" w:rsidR="008B586F" w:rsidRPr="009F58C4" w:rsidRDefault="008B586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DBF"/>
    <w:rsid w:val="00237B83"/>
    <w:rsid w:val="002424BD"/>
    <w:rsid w:val="00243418"/>
    <w:rsid w:val="0024346C"/>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451D"/>
    <w:rsid w:val="00294756"/>
    <w:rsid w:val="0029503F"/>
    <w:rsid w:val="002A119C"/>
    <w:rsid w:val="002A2F57"/>
    <w:rsid w:val="002A532C"/>
    <w:rsid w:val="002A6032"/>
    <w:rsid w:val="002B06DB"/>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7944"/>
    <w:rsid w:val="004703A4"/>
    <w:rsid w:val="004716F9"/>
    <w:rsid w:val="00471AF8"/>
    <w:rsid w:val="00471F3E"/>
    <w:rsid w:val="00472524"/>
    <w:rsid w:val="00473A4E"/>
    <w:rsid w:val="00474AD1"/>
    <w:rsid w:val="00474B57"/>
    <w:rsid w:val="00475351"/>
    <w:rsid w:val="0047572F"/>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374E"/>
    <w:rsid w:val="008948FF"/>
    <w:rsid w:val="00894BEE"/>
    <w:rsid w:val="00895F70"/>
    <w:rsid w:val="00896F99"/>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6172"/>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0C878-30DC-4B6F-876E-846FCB995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1777</Words>
  <Characters>9421</Characters>
  <Application>Microsoft Office Word</Application>
  <DocSecurity>0</DocSecurity>
  <Lines>78</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11176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2019-06-07T06:17:00Z</dcterms:modified>
</cp:coreProperties>
</file>