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Rutenettabell1lysuthevingsfarge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1AFAEF39" w:rsidR="007D6AEF" w:rsidRPr="001C1731" w:rsidRDefault="00206765">
      <w:pPr>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_x0000_s1027"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FrX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3PpDP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BFIFrXewIA&#13;&#10;AGEFAAAOAAAAAAAAAAAAAAAAAC4CAABkcnMvZTJvRG9jLnhtbFBLAQItABQABgAIAAAAIQCTkCYJ&#13;&#10;4gAAABIBAAAPAAAAAAAAAAAAAAAAANUEAABkcnMvZG93bnJldi54bWxQSwUGAAAAAAQABADzAAAA&#13;&#10;5AUAAAAA&#13;&#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2CD44B0A"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3414C1">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lastRenderedPageBreak/>
              <w:t>reserved_address_severity</w:t>
            </w:r>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6F96F9CC"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3414C1">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t>i</w:t>
            </w:r>
            <w:r w:rsidR="00563951" w:rsidRPr="00DA21FD">
              <w:rPr>
                <w:sz w:val="16"/>
                <w:szCs w:val="16"/>
              </w:rPr>
              <w:t>d_for_bfm</w:t>
            </w:r>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bookmarkStart w:id="1" w:name="_Ref444180146"/>
      <w:r w:rsidRPr="0042320D">
        <w:rPr>
          <w:rFonts w:ascii="Helvetica" w:hAnsi="Helvetica"/>
        </w:rPr>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78781" w14:textId="77777777" w:rsidR="005278C0" w:rsidRPr="009F58C4" w:rsidRDefault="005278C0">
      <w:pPr>
        <w:rPr>
          <w:rFonts w:ascii="Arial" w:hAnsi="Arial" w:cs="Arial"/>
          <w:lang w:val="sq-AL"/>
        </w:rPr>
      </w:pPr>
      <w:r w:rsidRPr="009F58C4">
        <w:rPr>
          <w:rFonts w:ascii="Arial" w:hAnsi="Arial" w:cs="Arial"/>
          <w:lang w:val="sq-AL"/>
        </w:rPr>
        <w:separator/>
      </w:r>
    </w:p>
  </w:endnote>
  <w:endnote w:type="continuationSeparator" w:id="0">
    <w:p w14:paraId="0ABEAFA8" w14:textId="77777777" w:rsidR="005278C0" w:rsidRPr="009F58C4" w:rsidRDefault="005278C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466160" w:rsidRDefault="004661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66160" w:rsidRDefault="004661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A0D4" w14:textId="77777777" w:rsidR="003E4184" w:rsidRPr="00FA2638" w:rsidRDefault="003E4184"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112986" w14:paraId="35168E3E" w14:textId="77777777" w:rsidTr="00E61652">
      <w:trPr>
        <w:trHeight w:val="284"/>
        <w:jc w:val="center"/>
      </w:trPr>
      <w:tc>
        <w:tcPr>
          <w:tcW w:w="3918" w:type="dxa"/>
          <w:vAlign w:val="center"/>
        </w:tcPr>
        <w:p w14:paraId="78424532" w14:textId="3FFA2030" w:rsidR="00466160" w:rsidRPr="00DA1B07" w:rsidRDefault="004661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6BC099E" w:rsidR="00466160" w:rsidRPr="00DA1B07" w:rsidRDefault="00466160"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112986">
            <w:rPr>
              <w:rFonts w:ascii="Helvetica" w:hAnsi="Helvetica" w:cs="Arial"/>
              <w:b/>
              <w:color w:val="1381C4"/>
              <w:sz w:val="14"/>
              <w:lang w:val="sq-AL"/>
            </w:rPr>
            <w:t>5</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414C1">
            <w:rPr>
              <w:rFonts w:ascii="Helvetica" w:hAnsi="Helvetica" w:cs="Arial"/>
              <w:noProof/>
              <w:color w:val="1381C4"/>
              <w:sz w:val="14"/>
              <w:lang w:val="en-US"/>
            </w:rPr>
            <w:t>2020-03-29</w:t>
          </w:r>
          <w:r>
            <w:rPr>
              <w:rFonts w:ascii="Helvetica" w:hAnsi="Helvetica" w:cs="Arial"/>
              <w:color w:val="1381C4"/>
              <w:sz w:val="14"/>
              <w:lang w:val="sq-AL"/>
            </w:rPr>
            <w:fldChar w:fldCharType="end"/>
          </w:r>
          <w:bookmarkStart w:id="3" w:name="_Ref337812553"/>
        </w:p>
      </w:tc>
      <w:tc>
        <w:tcPr>
          <w:tcW w:w="3929" w:type="dxa"/>
          <w:vAlign w:val="center"/>
        </w:tcPr>
        <w:p w14:paraId="4D00DFF0" w14:textId="5E63FBF4" w:rsidR="00466160" w:rsidRPr="00DA1B07" w:rsidRDefault="005278C0" w:rsidP="00615DBA">
          <w:pPr>
            <w:pStyle w:val="Bunntekst"/>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kobling"/>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3"/>
  </w:tbl>
  <w:p w14:paraId="3D5BB98A" w14:textId="77777777" w:rsidR="00466160" w:rsidRPr="00CD57FD" w:rsidRDefault="004661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45DE9" w14:textId="77777777" w:rsidR="005278C0" w:rsidRPr="009F58C4" w:rsidRDefault="005278C0">
      <w:pPr>
        <w:rPr>
          <w:rFonts w:ascii="Arial" w:hAnsi="Arial" w:cs="Arial"/>
          <w:lang w:val="sq-AL"/>
        </w:rPr>
      </w:pPr>
      <w:r w:rsidRPr="009F58C4">
        <w:rPr>
          <w:rFonts w:ascii="Arial" w:hAnsi="Arial" w:cs="Arial"/>
          <w:lang w:val="sq-AL"/>
        </w:rPr>
        <w:separator/>
      </w:r>
    </w:p>
  </w:footnote>
  <w:footnote w:type="continuationSeparator" w:id="0">
    <w:p w14:paraId="444A2EB8" w14:textId="77777777" w:rsidR="005278C0" w:rsidRPr="009F58C4" w:rsidRDefault="005278C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160" w:rsidRDefault="00466160"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160" w:rsidRDefault="00466160"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2DCDE-81D2-C747-92B3-B229B4A0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3460</Words>
  <Characters>18342</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21759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2020-03-29T10:33:00Z</dcterms:created>
  <dcterms:modified xsi:type="dcterms:W3CDTF">2020-03-29T10:33:00Z</dcterms:modified>
</cp:coreProperties>
</file>