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 xml:space="preserve">For general information see UVVM Essential Mechanisms located in </w:t>
      </w:r>
      <w:proofErr w:type="spellStart"/>
      <w:r w:rsidRPr="00A44461">
        <w:t>uvvm_vvc_framework</w:t>
      </w:r>
      <w:proofErr w:type="spellEnd"/>
      <w:r w:rsidRPr="00A44461">
        <w:t>/doc.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EA7C30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C_SLAVE_ADDR,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41169FC0"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5041FC">
              <w:rPr>
                <w:rFonts w:cs="Helvetica"/>
                <w:color w:val="FFFFFF"/>
                <w:szCs w:val="30"/>
              </w:rPr>
              <w:t>, [</w:t>
            </w:r>
            <w:proofErr w:type="spellStart"/>
            <w:r w:rsidR="005041FC">
              <w:rPr>
                <w:rFonts w:cs="Helvetica"/>
                <w:color w:val="FFFFFF"/>
                <w:szCs w:val="30"/>
              </w:rPr>
              <w:t>alert_level</w:t>
            </w:r>
            <w:proofErr w:type="spellEnd"/>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763B355F"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77777777"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5CFE6E78" w:rsidR="004C7321" w:rsidRDefault="00A44461">
      <w:pPr>
        <w:rPr>
          <w:rFonts w:ascii="Verdana" w:hAnsi="Verdana"/>
          <w:szCs w:val="18"/>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7F6E0D8E">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&#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Pr="00523A34">
        <w:rPr>
          <w:noProof/>
          <w:lang w:val="nb-NO" w:eastAsia="nb-NO"/>
        </w:rPr>
        <w:drawing>
          <wp:anchor distT="0" distB="0" distL="114300" distR="114300" simplePos="0" relativeHeight="251656192" behindDoc="0" locked="0" layoutInCell="1" allowOverlap="1" wp14:anchorId="38944D33" wp14:editId="27E0DB65">
            <wp:simplePos x="0" y="0"/>
            <wp:positionH relativeFrom="margin">
              <wp:posOffset>8902987</wp:posOffset>
            </wp:positionH>
            <wp:positionV relativeFrom="paragraph">
              <wp:posOffset>4010672</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" strokecolor="white [3212]">
                <v:textbox>
                  <w:txbxContent>
                    <w:p w14:paraId="009AEC0B" w14:textId="77777777" w:rsidR="004C7321" w:rsidRPr="00CA2244" w:rsidRDefault="004C7321" w:rsidP="004C732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68C3499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7777777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 xml:space="preserve">I2C _VVCT,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77777777"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55A7E48E" w:rsidR="004C7321" w:rsidRPr="005041FC" w:rsidRDefault="00A44461">
      <w:pPr>
        <w:rPr>
          <w:rFonts w:ascii="Verdana" w:hAnsi="Verdana"/>
          <w:szCs w:val="18"/>
          <w:lang w:val="en-US"/>
        </w:rPr>
      </w:pPr>
      <w:r w:rsidRPr="00523A34">
        <w:rPr>
          <w:noProof/>
          <w:lang w:val="nb-NO" w:eastAsia="nb-NO"/>
        </w:rPr>
        <w:drawing>
          <wp:anchor distT="0" distB="0" distL="114300" distR="114300" simplePos="0" relativeHeight="251663872" behindDoc="0" locked="0" layoutInCell="1" allowOverlap="1" wp14:anchorId="24F7FE91" wp14:editId="3DF76778">
            <wp:simplePos x="0" y="0"/>
            <wp:positionH relativeFrom="margin">
              <wp:posOffset>9050655</wp:posOffset>
            </wp:positionH>
            <wp:positionV relativeFrom="paragraph">
              <wp:posOffset>5052695</wp:posOffset>
            </wp:positionV>
            <wp:extent cx="712470" cy="685800"/>
            <wp:effectExtent l="0" t="0" r="0" b="0"/>
            <wp:wrapNone/>
            <wp:docPr id="1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30D11870">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&#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004C7321"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std_logic_vector</w:t>
            </w:r>
            <w:proofErr w:type="spell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bl>
    <w:p w14:paraId="3312C763" w14:textId="77777777" w:rsidR="004C7321" w:rsidRDefault="004C7321" w:rsidP="00A50977">
      <w:pPr>
        <w:pStyle w:val="Undertittel"/>
        <w:spacing w:before="200" w:after="40"/>
        <w:rPr>
          <w:szCs w:val="24"/>
        </w:rPr>
      </w:pPr>
    </w:p>
    <w:p w14:paraId="13228C36"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77777777" w:rsidR="0018794E" w:rsidRDefault="0018794E" w:rsidP="003354AD">
      <w:pPr>
        <w:pStyle w:val="Undertittel"/>
        <w:rPr>
          <w:sz w:val="40"/>
          <w:szCs w:val="40"/>
        </w:rPr>
      </w:pPr>
    </w:p>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0A16A2BD"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302DF" w:rsidRPr="009302DF">
        <w:t>td_vvc_framework_common_methods_pkg</w:t>
      </w:r>
      <w:proofErr w:type="spellEnd"/>
      <w:r w:rsidRPr="00254299">
        <w:t xml:space="preserve"> (common VVC procedures)</w:t>
      </w:r>
      <w:r w:rsidR="0018794E">
        <w:t>.</w:t>
      </w:r>
      <w:r w:rsidR="00385DAE" w:rsidRPr="00385DAE">
        <w:t xml:space="preserve"> </w:t>
      </w:r>
      <w:r w:rsidR="00385DAE">
        <w:t xml:space="preserve">It is also possible to send a multicast to all instances of a VVC with ALL_INSTANCES as parameter for </w:t>
      </w:r>
      <w:proofErr w:type="spellStart"/>
      <w:r w:rsidR="00385DAE">
        <w:t>vvc_instance_idx</w:t>
      </w:r>
      <w:proofErr w:type="spellEnd"/>
      <w:r w:rsidR="00385DAE">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63614181"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649574DA"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6564A04A" w14:textId="3D52C44E" w:rsidR="00BA54C5"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w:t>
            </w:r>
            <w:r>
              <w:rPr>
                <w:rFonts w:ascii="Courier New" w:hAnsi="Courier New" w:cs="Courier New"/>
                <w:sz w:val="15"/>
                <w:szCs w:val="15"/>
              </w:rPr>
              <w:br/>
              <w:t xml:space="preserve">                        </w:t>
            </w:r>
            <w:r w:rsidR="00BA54C5" w:rsidRPr="001C7750">
              <w:rPr>
                <w:rFonts w:ascii="Courier New" w:hAnsi="Courier New" w:cs="Courier New"/>
                <w:sz w:val="15"/>
                <w:szCs w:val="15"/>
              </w:rPr>
              <w:t xml:space="preserve">“Transmitting </w:t>
            </w:r>
            <w:r w:rsidR="00B21610" w:rsidRPr="001C7750">
              <w:rPr>
                <w:rFonts w:ascii="Courier New" w:hAnsi="Courier New" w:cs="Courier New"/>
                <w:sz w:val="15"/>
                <w:szCs w:val="15"/>
              </w:rPr>
              <w:t>byte 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4002819C"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5AB14EA4" w14:textId="37BC2BFF" w:rsidR="00833643"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xml:space="preserve">”, </w:t>
            </w:r>
            <w:r>
              <w:rPr>
                <w:rFonts w:ascii="Courier New" w:hAnsi="Courier New" w:cs="Courier New"/>
                <w:sz w:val="15"/>
                <w:szCs w:val="15"/>
              </w:rPr>
              <w:br/>
              <w:t xml:space="preserve">                     </w:t>
            </w:r>
            <w:r w:rsidR="0031353B" w:rsidRPr="001C7750">
              <w:rPr>
                <w:rFonts w:ascii="Courier New" w:hAnsi="Courier New" w:cs="Courier New"/>
                <w:sz w:val="15"/>
                <w:szCs w:val="15"/>
              </w:rPr>
              <w:t>“Expecting data 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736555FE"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712C7F4E"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await_completion</w:t>
            </w:r>
            <w:proofErr w:type="spell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73D2F5A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p>
          <w:p w14:paraId="5F24369D"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 xml:space="preserve">i2c_slave_transmit(I2C_VVCT,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04BC5152"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p w14:paraId="019A965F" w14:textId="68DD4A14"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03784A9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bookmarkEnd w:id="3"/>
            <w:bookmarkEnd w:id="4"/>
            <w:r w:rsidR="000E238F" w:rsidRPr="001C7750">
              <w:rPr>
                <w:rFonts w:ascii="Courier New" w:hAnsi="Courier New" w:cs="Courier New"/>
                <w:sz w:val="15"/>
                <w:szCs w:val="15"/>
              </w:rPr>
              <w:t xml:space="preserve"> </w:t>
            </w:r>
          </w:p>
          <w:p w14:paraId="37B2F2EA"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7777777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fetch_result</w:t>
            </w:r>
            <w:proofErr w:type="spell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6E47A73E" w14:textId="0C69C6BB" w:rsidR="00043ABE" w:rsidRPr="009C4146" w:rsidRDefault="001C7750" w:rsidP="001C7750">
            <w:pPr>
              <w:tabs>
                <w:tab w:val="left" w:pos="4820"/>
              </w:tabs>
              <w:spacing w:line="276" w:lineRule="auto"/>
              <w:rPr>
                <w:rFonts w:cs="Helvetica"/>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77777777" w:rsidR="00BC6AE9" w:rsidRPr="00631A77" w:rsidRDefault="00BC6AE9">
      <w:pPr>
        <w:rPr>
          <w:rFonts w:ascii="Courier New" w:hAnsi="Courier New" w:cs="Courier New"/>
          <w:szCs w:val="18"/>
        </w:rPr>
      </w:pP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587821B3" w14:textId="77777777" w:rsidR="004D69A1" w:rsidRPr="00A96D85" w:rsidRDefault="004D69A1"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7110B28E" w:rsidR="00604608" w:rsidRDefault="00405317">
      <w:pPr>
        <w:rPr>
          <w:rFonts w:ascii="Verdana" w:hAnsi="Verdana"/>
          <w:szCs w:val="22"/>
        </w:rPr>
      </w:pPr>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05D9D27F" w:rsidR="00604608" w:rsidRPr="009902B2" w:rsidRDefault="00594AA7" w:rsidP="009902B2">
      <w:pPr>
        <w:pStyle w:val="Listeavsnitt"/>
        <w:numPr>
          <w:ilvl w:val="0"/>
          <w:numId w:val="40"/>
        </w:numPr>
        <w:rPr>
          <w:b/>
          <w:i/>
        </w:rPr>
      </w:pPr>
      <w:r>
        <w:rPr>
          <w:b/>
          <w:i/>
        </w:rPr>
        <w:t>I2C</w:t>
      </w:r>
      <w:r w:rsidR="00604608" w:rsidRPr="009902B2">
        <w:rPr>
          <w:b/>
          <w:i/>
        </w:rPr>
        <w:t xml:space="preserve"> BFM</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bookmarkStart w:id="6" w:name="_GoBack"/>
      <w:bookmarkEnd w:id="6"/>
    </w:p>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77777777"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FCE90" w14:textId="77777777" w:rsidR="00503696" w:rsidRPr="009F58C4" w:rsidRDefault="00503696">
      <w:pPr>
        <w:rPr>
          <w:rFonts w:ascii="Arial" w:hAnsi="Arial" w:cs="Arial"/>
          <w:lang w:val="sq-AL"/>
        </w:rPr>
      </w:pPr>
      <w:r w:rsidRPr="009F58C4">
        <w:rPr>
          <w:rFonts w:ascii="Arial" w:hAnsi="Arial" w:cs="Arial"/>
          <w:lang w:val="sq-AL"/>
        </w:rPr>
        <w:separator/>
      </w:r>
    </w:p>
  </w:endnote>
  <w:endnote w:type="continuationSeparator" w:id="0">
    <w:p w14:paraId="2C547391" w14:textId="77777777" w:rsidR="00503696" w:rsidRPr="009F58C4" w:rsidRDefault="0050369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12146910"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EB6D31">
      <w:rPr>
        <w:rStyle w:val="Sidetall"/>
        <w:noProof/>
        <w:color w:val="1381C4"/>
      </w:rPr>
      <w:t>8</w:t>
    </w:r>
    <w:r w:rsidRPr="004D74A3">
      <w:rPr>
        <w:rStyle w:val="Sidetall"/>
        <w:color w:val="1381C4"/>
      </w:rPr>
      <w:fldChar w:fldCharType="end"/>
    </w:r>
    <w:r>
      <w:rPr>
        <w:rStyle w:val="Sidetall"/>
        <w:color w:val="1381C4"/>
      </w:rPr>
      <w:t xml:space="preserve"> (</w:t>
    </w:r>
    <w:r w:rsidR="0012457A">
      <w:rPr>
        <w:rStyle w:val="Sidetall"/>
        <w:color w:val="1381C4"/>
      </w:rPr>
      <w:fldChar w:fldCharType="begin"/>
    </w:r>
    <w:r w:rsidR="0012457A">
      <w:rPr>
        <w:rStyle w:val="Sidetall"/>
        <w:color w:val="1381C4"/>
      </w:rPr>
      <w:instrText xml:space="preserve"> NUMPAGES   \* MERGEFORMAT </w:instrText>
    </w:r>
    <w:r w:rsidR="0012457A">
      <w:rPr>
        <w:rStyle w:val="Sidetall"/>
        <w:color w:val="1381C4"/>
      </w:rPr>
      <w:fldChar w:fldCharType="separate"/>
    </w:r>
    <w:r w:rsidR="0012457A">
      <w:rPr>
        <w:rStyle w:val="Sidetall"/>
        <w:color w:val="1381C4"/>
      </w:rPr>
      <w:t>20</w:t>
    </w:r>
    <w:r w:rsidR="0012457A">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12457A"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01AE2D54"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F9731A">
            <w:rPr>
              <w:rFonts w:ascii="Helvetica" w:hAnsi="Helvetica" w:cs="Arial"/>
              <w:b/>
              <w:color w:val="1381C4"/>
              <w:sz w:val="14"/>
              <w:lang w:val="sq-AL"/>
            </w:rPr>
            <w:t>1</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12457A">
            <w:rPr>
              <w:rFonts w:ascii="Helvetica" w:hAnsi="Helvetica" w:cs="Arial"/>
              <w:noProof/>
              <w:color w:val="1381C4"/>
              <w:sz w:val="14"/>
              <w:lang w:val="en-US"/>
            </w:rPr>
            <w:t>2019-01-21</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503696"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47508" w14:textId="77777777" w:rsidR="00503696" w:rsidRPr="009F58C4" w:rsidRDefault="00503696">
      <w:pPr>
        <w:rPr>
          <w:rFonts w:ascii="Arial" w:hAnsi="Arial" w:cs="Arial"/>
          <w:lang w:val="sq-AL"/>
        </w:rPr>
      </w:pPr>
      <w:r w:rsidRPr="009F58C4">
        <w:rPr>
          <w:rFonts w:ascii="Arial" w:hAnsi="Arial" w:cs="Arial"/>
          <w:lang w:val="sq-AL"/>
        </w:rPr>
        <w:separator/>
      </w:r>
    </w:p>
  </w:footnote>
  <w:footnote w:type="continuationSeparator" w:id="0">
    <w:p w14:paraId="2E321D2F" w14:textId="77777777" w:rsidR="00503696" w:rsidRPr="009F58C4" w:rsidRDefault="0050369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64A7"/>
    <w:rsid w:val="001F69A7"/>
    <w:rsid w:val="001F7E16"/>
    <w:rsid w:val="002023E1"/>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30265"/>
    <w:rsid w:val="009302DF"/>
    <w:rsid w:val="009348A7"/>
    <w:rsid w:val="009350C8"/>
    <w:rsid w:val="00936B3E"/>
    <w:rsid w:val="0093720D"/>
    <w:rsid w:val="00937914"/>
    <w:rsid w:val="009408BE"/>
    <w:rsid w:val="00940D47"/>
    <w:rsid w:val="0094153A"/>
    <w:rsid w:val="00942303"/>
    <w:rsid w:val="00945E4B"/>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2775"/>
    <w:rsid w:val="00EB5A04"/>
    <w:rsid w:val="00EB6D31"/>
    <w:rsid w:val="00EB70C9"/>
    <w:rsid w:val="00EB785A"/>
    <w:rsid w:val="00EC11F2"/>
    <w:rsid w:val="00EC1D48"/>
    <w:rsid w:val="00EC57A5"/>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78F9"/>
    <w:rsid w:val="00F904F0"/>
    <w:rsid w:val="00F91A6B"/>
    <w:rsid w:val="00F94A54"/>
    <w:rsid w:val="00F95064"/>
    <w:rsid w:val="00F9731A"/>
    <w:rsid w:val="00F97818"/>
    <w:rsid w:val="00F9793E"/>
    <w:rsid w:val="00FA11B3"/>
    <w:rsid w:val="00FA265F"/>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33212-D15D-49EB-BE3D-7823CC0A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2501</Words>
  <Characters>13256</Characters>
  <Application>Microsoft Office Word</Application>
  <DocSecurity>0</DocSecurity>
  <Lines>110</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15726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2019-01-21T19:56:00Z</dcterms:modified>
</cp:coreProperties>
</file>