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Pr>
                <w:rFonts w:cs="Helvetica"/>
                <w:color w:val="FFFFFF"/>
                <w:szCs w:val="30"/>
              </w:rPr>
              <w:t xml:space="preserve">{ </w:t>
            </w:r>
            <w:proofErr w:type="spellStart"/>
            <w:r w:rsidR="0011390B">
              <w:rPr>
                <w:rFonts w:cs="Helvetica"/>
                <w:color w:val="FFFFFF"/>
                <w:szCs w:val="30"/>
              </w:rPr>
              <w:t>num</w:t>
            </w:r>
            <w:proofErr w:type="gramEnd"/>
            <w:r w:rsidR="0011390B">
              <w:rPr>
                <w:rFonts w:cs="Helvetica"/>
                <w:color w:val="FFFFFF"/>
                <w:szCs w:val="30"/>
              </w:rPr>
              <w:t>_words</w:t>
            </w:r>
            <w:proofErr w:type="spellEnd"/>
            <w:r w:rsidR="0011390B">
              <w:rPr>
                <w:rFonts w:cs="Helvetica"/>
                <w:color w:val="FFFFFF"/>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1D67AAB0"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00746A40" w:rsidRPr="007E1129">
              <w:rPr>
                <w:rFonts w:cs="Helvetica"/>
                <w:b w:val="0"/>
                <w:bCs w:val="0"/>
                <w:sz w:val="15"/>
                <w:szCs w:val="28"/>
                <w:highlight w:val="darkGray"/>
              </w:rPr>
              <w:t xml:space="preserve">DRAFT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proofErr w:type="spellStart"/>
            <w:r w:rsidR="00F12437">
              <w:rPr>
                <w:rFonts w:cs="Helvetica"/>
                <w:color w:val="FFFFFF"/>
                <w:szCs w:val="30"/>
              </w:rPr>
              <w:t>TO_SB</w:t>
            </w:r>
            <w:proofErr w:type="spellEnd"/>
            <w:r w:rsidR="00F12437">
              <w:rPr>
                <w:rFonts w:cs="Helvetica"/>
                <w:color w:val="FFFFFF"/>
                <w:szCs w:val="30"/>
              </w:rPr>
              <w:t>,]</w:t>
            </w:r>
            <w:r w:rsidR="00FB1499" w:rsidRPr="00662DF1">
              <w:rPr>
                <w:rFonts w:cs="Helvetica"/>
                <w:color w:val="FFFFFF"/>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38723D07"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00746A40" w:rsidRPr="007E1129">
              <w:rPr>
                <w:rFonts w:cs="Helvetica"/>
                <w:b w:val="0"/>
                <w:sz w:val="15"/>
                <w:szCs w:val="15"/>
                <w:highlight w:val="darkGray"/>
              </w:rPr>
              <w:t xml:space="preserve">DRAFT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spellStart"/>
            <w:proofErr w:type="gramEnd"/>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spellStart"/>
            <w:proofErr w:type="gramEnd"/>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 </w:t>
            </w:r>
            <w:proofErr w:type="spellStart"/>
            <w:r w:rsidR="0011390B" w:rsidRPr="0011390B">
              <w:rPr>
                <w:rFonts w:cs="Helvetica"/>
                <w:b/>
                <w:sz w:val="15"/>
                <w:szCs w:val="15"/>
              </w:rPr>
              <w:t>num_words</w:t>
            </w:r>
            <w:proofErr w:type="spellEnd"/>
            <w:r w:rsidR="0011390B" w:rsidRPr="0011390B">
              <w:rPr>
                <w:rFonts w:cs="Helvetica"/>
                <w:b/>
                <w:sz w:val="15"/>
                <w:szCs w:val="15"/>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Pr>
                <w:rFonts w:cs="Helvetica"/>
                <w:sz w:val="15"/>
                <w:szCs w:val="15"/>
              </w:rPr>
              <w:t xml:space="preserve">When the more advanced randomisation command is applied the basic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sbi_</w:t>
            </w:r>
            <w:proofErr w:type="gramStart"/>
            <w:r>
              <w:rPr>
                <w:rFonts w:cs="Helvetica"/>
                <w:sz w:val="15"/>
                <w:szCs w:val="15"/>
              </w:rPr>
              <w:t>write</w:t>
            </w:r>
            <w:proofErr w:type="spellEnd"/>
            <w:r>
              <w:rPr>
                <w:rFonts w:cs="Helvetica"/>
                <w:sz w:val="15"/>
                <w:szCs w:val="15"/>
              </w:rPr>
              <w:t>(</w:t>
            </w:r>
            <w:proofErr w:type="gramEnd"/>
            <w:r>
              <w:rPr>
                <w:rFonts w:cs="Helvetica"/>
                <w:sz w:val="15"/>
                <w:szCs w:val="15"/>
              </w:rPr>
              <w:t xml:space="preserve">) transaction is executed </w:t>
            </w:r>
            <w:proofErr w:type="spellStart"/>
            <w:r>
              <w:rPr>
                <w:rFonts w:cs="Helvetica"/>
                <w:sz w:val="15"/>
                <w:szCs w:val="15"/>
              </w:rPr>
              <w:t>num_words</w:t>
            </w:r>
            <w:proofErr w:type="spellEnd"/>
            <w:r>
              <w:rPr>
                <w:rFonts w:cs="Helvetica"/>
                <w:sz w:val="15"/>
                <w:szCs w:val="15"/>
              </w:rPr>
              <w:t xml:space="preserve"> times with new random data each time – according to the given randomisation profile. </w:t>
            </w:r>
            <w:r>
              <w:rPr>
                <w:rFonts w:cs="Helvetica"/>
                <w:sz w:val="15"/>
                <w:szCs w:val="15"/>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CCA7923"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6A40" w:rsidRPr="007E1129">
              <w:rPr>
                <w:rFonts w:ascii="Courier New" w:hAnsi="Courier New" w:cs="Courier New"/>
                <w:sz w:val="15"/>
                <w:szCs w:val="15"/>
                <w:highlight w:val="darkGray"/>
              </w:rPr>
              <w:t xml:space="preserve">DRAFT </w:t>
            </w:r>
            <w:proofErr w:type="spellStart"/>
            <w:r w:rsidRPr="007E1129">
              <w:rPr>
                <w:rFonts w:ascii="Courier New" w:hAnsi="Courier New" w:cs="Courier New"/>
                <w:sz w:val="15"/>
                <w:szCs w:val="15"/>
                <w:highlight w:val="darkGray"/>
              </w:rPr>
              <w:t>sbi_</w:t>
            </w:r>
            <w:proofErr w:type="gramStart"/>
            <w:r w:rsidRPr="007E1129">
              <w:rPr>
                <w:rFonts w:ascii="Courier New" w:hAnsi="Courier New" w:cs="Courier New"/>
                <w:sz w:val="15"/>
                <w:szCs w:val="15"/>
                <w:highlight w:val="darkGray"/>
              </w:rPr>
              <w:t>write</w:t>
            </w:r>
            <w:proofErr w:type="spellEnd"/>
            <w:r w:rsidRPr="007E1129">
              <w:rPr>
                <w:rFonts w:ascii="Courier New" w:hAnsi="Courier New" w:cs="Courier New"/>
                <w:sz w:val="15"/>
                <w:szCs w:val="15"/>
                <w:highlight w:val="darkGray"/>
              </w:rPr>
              <w:t>(</w:t>
            </w:r>
            <w:proofErr w:type="spellStart"/>
            <w:proofErr w:type="gramEnd"/>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spellStart"/>
            <w:proofErr w:type="gramEnd"/>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Pr>
                <w:rFonts w:cs="Helvetica"/>
                <w:b/>
                <w:sz w:val="15"/>
                <w:szCs w:val="15"/>
              </w:rPr>
              <w:t>[</w:t>
            </w:r>
            <w:proofErr w:type="spellStart"/>
            <w:r w:rsidR="00F12437">
              <w:rPr>
                <w:rFonts w:cs="Helvetica"/>
                <w:b/>
                <w:sz w:val="15"/>
                <w:szCs w:val="15"/>
              </w:rPr>
              <w:t>TO_SB</w:t>
            </w:r>
            <w:proofErr w:type="spellEnd"/>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11390B">
              <w:rPr>
                <w:rFonts w:cs="Helvetica"/>
                <w:sz w:val="15"/>
                <w:szCs w:val="15"/>
              </w:rPr>
              <w:t xml:space="preserve">If the option TO_SB is applied the </w:t>
            </w:r>
            <w:r>
              <w:rPr>
                <w:rFonts w:cs="Helvetica"/>
                <w:sz w:val="15"/>
                <w:szCs w:val="15"/>
              </w:rPr>
              <w:t>read</w:t>
            </w:r>
            <w:r w:rsidRPr="0011390B">
              <w:rPr>
                <w:rFonts w:cs="Helvetica"/>
                <w:sz w:val="15"/>
                <w:szCs w:val="15"/>
              </w:rPr>
              <w:t xml:space="preserve"> data will be sent to the </w:t>
            </w:r>
            <w:r>
              <w:rPr>
                <w:rFonts w:cs="Helvetica"/>
                <w:sz w:val="15"/>
                <w:szCs w:val="15"/>
              </w:rPr>
              <w:t>SBI</w:t>
            </w:r>
            <w:r w:rsidRPr="0011390B">
              <w:rPr>
                <w:rFonts w:cs="Helvetica"/>
                <w:sz w:val="15"/>
                <w:szCs w:val="15"/>
              </w:rPr>
              <w:t>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5A3861E6"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746A40" w:rsidRPr="007E1129">
              <w:rPr>
                <w:rFonts w:ascii="Courier New" w:hAnsi="Courier New" w:cs="Courier New"/>
                <w:sz w:val="15"/>
                <w:szCs w:val="28"/>
                <w:highlight w:val="darkGray"/>
              </w:rPr>
              <w:t xml:space="preserve">DRAFT </w:t>
            </w:r>
            <w:proofErr w:type="spellStart"/>
            <w:r w:rsidR="00F12437" w:rsidRPr="007E1129">
              <w:rPr>
                <w:rFonts w:ascii="Courier New" w:hAnsi="Courier New" w:cs="Courier New"/>
                <w:sz w:val="15"/>
                <w:szCs w:val="28"/>
                <w:highlight w:val="darkGray"/>
              </w:rPr>
              <w:t>sbi_</w:t>
            </w:r>
            <w:proofErr w:type="gramStart"/>
            <w:r w:rsidR="00F12437" w:rsidRPr="007E1129">
              <w:rPr>
                <w:rFonts w:ascii="Courier New" w:hAnsi="Courier New" w:cs="Courier New"/>
                <w:sz w:val="15"/>
                <w:szCs w:val="28"/>
                <w:highlight w:val="darkGray"/>
              </w:rPr>
              <w:t>read</w:t>
            </w:r>
            <w:proofErr w:type="spellEnd"/>
            <w:r w:rsidR="00F12437" w:rsidRPr="007E1129">
              <w:rPr>
                <w:rFonts w:ascii="Courier New" w:hAnsi="Courier New" w:cs="Courier New"/>
                <w:sz w:val="15"/>
                <w:szCs w:val="28"/>
                <w:highlight w:val="darkGray"/>
              </w:rPr>
              <w:t>(</w:t>
            </w:r>
            <w:proofErr w:type="spellStart"/>
            <w:proofErr w:type="gramEnd"/>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proofErr w:type="gramEnd"/>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spellStart"/>
            <w:proofErr w:type="gramEnd"/>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spellStart"/>
            <w:proofErr w:type="gramEnd"/>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spellStart"/>
            <w:proofErr w:type="gramEnd"/>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spellStart"/>
            <w:proofErr w:type="gramEnd"/>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77777777"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3F2A0F20" w14:textId="77777777"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EDD7EBF" w14:textId="77777777" w:rsidR="0062276D" w:rsidRPr="0062276D" w:rsidRDefault="0062276D" w:rsidP="0062276D">
      <w:bookmarkStart w:id="2" w:name="_GoBack"/>
      <w:bookmarkEnd w:id="2"/>
    </w:p>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Default="00A43359" w:rsidP="009902B2">
      <w:pPr>
        <w:pStyle w:val="Listeavsnitt"/>
        <w:numPr>
          <w:ilvl w:val="0"/>
          <w:numId w:val="40"/>
        </w:numPr>
        <w:rPr>
          <w:b/>
          <w:i/>
        </w:rPr>
      </w:pPr>
      <w:proofErr w:type="spellStart"/>
      <w:r>
        <w:rPr>
          <w:b/>
          <w:i/>
        </w:rPr>
        <w:t>Bitvis</w:t>
      </w:r>
      <w:proofErr w:type="spellEnd"/>
      <w:r>
        <w:rPr>
          <w:b/>
          <w:i/>
        </w:rPr>
        <w:t xml:space="preserve"> VIP Scoreboard</w:t>
      </w:r>
    </w:p>
    <w:p w14:paraId="577BFB07" w14:textId="686C28E9" w:rsidR="00A43359" w:rsidRPr="009902B2" w:rsidRDefault="00A43359" w:rsidP="009902B2">
      <w:pPr>
        <w:pStyle w:val="Listeavsnitt"/>
        <w:numPr>
          <w:ilvl w:val="0"/>
          <w:numId w:val="40"/>
        </w:numPr>
        <w:rPr>
          <w:b/>
          <w:i/>
        </w:rPr>
      </w:pPr>
      <w:proofErr w:type="spellStart"/>
      <w:r>
        <w:rPr>
          <w:b/>
          <w:i/>
        </w:rPr>
        <w:t>CrFc</w:t>
      </w:r>
      <w:proofErr w:type="spellEnd"/>
      <w:r>
        <w:rPr>
          <w:b/>
          <w:i/>
        </w:rPr>
        <w:t xml:space="preserve"> (</w:t>
      </w:r>
      <w:proofErr w:type="spellStart"/>
      <w:r>
        <w:rPr>
          <w:b/>
          <w:i/>
        </w:rPr>
        <w:t>xConstrRandFuncCov</w:t>
      </w:r>
      <w:proofErr w:type="spellEnd"/>
      <w:r>
        <w:rPr>
          <w:b/>
          <w:i/>
        </w:rPr>
        <w:t>)</w:t>
      </w:r>
    </w:p>
    <w:p w14:paraId="4203C629" w14:textId="77777777" w:rsidR="00604608" w:rsidRDefault="00604608" w:rsidP="00604608"/>
    <w:p w14:paraId="5A463C48" w14:textId="7336A06A"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A43359">
        <w:t xml:space="preserve">, </w:t>
      </w:r>
      <w:proofErr w:type="spellStart"/>
      <w:r w:rsidR="00A43359">
        <w:t>bitvis_vip_scoreboard</w:t>
      </w:r>
      <w:proofErr w:type="spellEnd"/>
      <w:r w:rsidR="00A43359">
        <w:t xml:space="preserve"> and </w:t>
      </w:r>
      <w:proofErr w:type="spellStart"/>
      <w:r w:rsidR="00A43359">
        <w:t>xConstrRandFuncCov</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8F209" w14:textId="77777777" w:rsidR="00B62CA4" w:rsidRPr="009F58C4" w:rsidRDefault="00B62CA4">
      <w:pPr>
        <w:rPr>
          <w:rFonts w:ascii="Arial" w:hAnsi="Arial" w:cs="Arial"/>
          <w:lang w:val="sq-AL"/>
        </w:rPr>
      </w:pPr>
      <w:r w:rsidRPr="009F58C4">
        <w:rPr>
          <w:rFonts w:ascii="Arial" w:hAnsi="Arial" w:cs="Arial"/>
          <w:lang w:val="sq-AL"/>
        </w:rPr>
        <w:separator/>
      </w:r>
    </w:p>
  </w:endnote>
  <w:endnote w:type="continuationSeparator" w:id="0">
    <w:p w14:paraId="28E6E538" w14:textId="77777777" w:rsidR="00B62CA4" w:rsidRPr="009F58C4" w:rsidRDefault="00B62CA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AB24B2"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709253CA"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B24B2">
            <w:rPr>
              <w:rFonts w:ascii="Helvetica" w:hAnsi="Helvetica" w:cs="Arial"/>
              <w:b/>
              <w:color w:val="1381C4"/>
              <w:sz w:val="14"/>
              <w:lang w:val="sq-AL"/>
            </w:rPr>
            <w:t>2</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A43359">
            <w:rPr>
              <w:rFonts w:ascii="Helvetica" w:hAnsi="Helvetica" w:cs="Arial"/>
              <w:noProof/>
              <w:color w:val="1381C4"/>
              <w:sz w:val="14"/>
              <w:lang w:val="en-US"/>
            </w:rPr>
            <w:t>2019-10-30</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B62CA4"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A44CE" w14:textId="77777777" w:rsidR="00B62CA4" w:rsidRPr="009F58C4" w:rsidRDefault="00B62CA4">
      <w:pPr>
        <w:rPr>
          <w:rFonts w:ascii="Arial" w:hAnsi="Arial" w:cs="Arial"/>
          <w:lang w:val="sq-AL"/>
        </w:rPr>
      </w:pPr>
      <w:r w:rsidRPr="009F58C4">
        <w:rPr>
          <w:rFonts w:ascii="Arial" w:hAnsi="Arial" w:cs="Arial"/>
          <w:lang w:val="sq-AL"/>
        </w:rPr>
        <w:separator/>
      </w:r>
    </w:p>
  </w:footnote>
  <w:footnote w:type="continuationSeparator" w:id="0">
    <w:p w14:paraId="2A79F24D" w14:textId="77777777" w:rsidR="00B62CA4" w:rsidRPr="009F58C4" w:rsidRDefault="00B62CA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6629E"/>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64E5B-1934-CC41-A425-5831E0E0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2534</Words>
  <Characters>13433</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2019-10-30T12:17:00Z</dcterms:modified>
</cp:coreProperties>
</file>