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actual_element</w:t>
            </w:r>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t_actual_element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19768B9C"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ti_generic_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_actual</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Pr>
                <w:rFonts w:cs="Helvetica"/>
                <w:b/>
                <w:sz w:val="15"/>
                <w:szCs w:val="15"/>
              </w:rPr>
              <w:t xml:space="preserve">actual_element,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actual_element,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_actual</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uart_sb.check_actual(</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uart_sb.check_actual</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3FB1F2E1"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CA0479D"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0A8F8FB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6506D7">
              <w:rPr>
                <w:rFonts w:ascii="Courier New" w:hAnsi="Courier New" w:cs="Courier New"/>
                <w:sz w:val="15"/>
                <w:szCs w:val="15"/>
              </w:rPr>
              <w:t>Get</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20A6DCC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6506D7">
              <w:rPr>
                <w:rFonts w:ascii="Courier New" w:hAnsi="Courier New" w:cs="Courier New"/>
                <w:sz w:val="15"/>
                <w:szCs w:val="15"/>
              </w:rPr>
              <w:t>Get</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Before compiling the SBI VVC,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This VVC has been compiled and tested with Modelsim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0E0212D2"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is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bookmarkStart w:id="6" w:name="_GoBack"/>
      <w:bookmarkEnd w:id="6"/>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B607E" w14:textId="77777777" w:rsidR="00EC68B6" w:rsidRPr="009F58C4" w:rsidRDefault="00EC68B6">
      <w:pPr>
        <w:rPr>
          <w:rFonts w:ascii="Arial" w:hAnsi="Arial" w:cs="Arial"/>
          <w:lang w:val="sq-AL"/>
        </w:rPr>
      </w:pPr>
      <w:r w:rsidRPr="009F58C4">
        <w:rPr>
          <w:rFonts w:ascii="Arial" w:hAnsi="Arial" w:cs="Arial"/>
          <w:lang w:val="sq-AL"/>
        </w:rPr>
        <w:separator/>
      </w:r>
    </w:p>
    <w:p w14:paraId="39F1850F" w14:textId="77777777" w:rsidR="00EC68B6" w:rsidRDefault="00EC68B6"/>
  </w:endnote>
  <w:endnote w:type="continuationSeparator" w:id="0">
    <w:p w14:paraId="36C3230E" w14:textId="77777777" w:rsidR="00EC68B6" w:rsidRPr="009F58C4" w:rsidRDefault="00EC68B6">
      <w:pPr>
        <w:rPr>
          <w:rFonts w:ascii="Arial" w:hAnsi="Arial" w:cs="Arial"/>
          <w:lang w:val="sq-AL"/>
        </w:rPr>
      </w:pPr>
      <w:r w:rsidRPr="009F58C4">
        <w:rPr>
          <w:rFonts w:ascii="Arial" w:hAnsi="Arial" w:cs="Arial"/>
          <w:lang w:val="sq-AL"/>
        </w:rPr>
        <w:continuationSeparator/>
      </w:r>
    </w:p>
    <w:p w14:paraId="7724A0A2" w14:textId="77777777" w:rsidR="00EC68B6" w:rsidRDefault="00EC6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E4F03" w14:textId="69CC8A7D" w:rsidR="00000433" w:rsidRPr="004D74A3" w:rsidRDefault="00000433"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5</w:t>
    </w:r>
    <w:r w:rsidRPr="004D74A3">
      <w:rPr>
        <w:rStyle w:val="Sidetall"/>
        <w:color w:val="1381C4"/>
      </w:rPr>
      <w:fldChar w:fldCharType="end"/>
    </w:r>
    <w:r>
      <w:rPr>
        <w:rStyle w:val="Sidetall"/>
        <w:color w:val="1381C4"/>
      </w:rPr>
      <w:t xml:space="preserve"> (</w:t>
    </w:r>
    <w:r w:rsidR="004B62EA">
      <w:rPr>
        <w:rStyle w:val="Sidetall"/>
        <w:color w:val="1381C4"/>
      </w:rPr>
      <w:fldChar w:fldCharType="begin"/>
    </w:r>
    <w:r w:rsidR="004B62EA">
      <w:rPr>
        <w:rStyle w:val="Sidetall"/>
        <w:color w:val="1381C4"/>
      </w:rPr>
      <w:instrText xml:space="preserve"> NUMPAGES   \* MERGEFORMAT </w:instrText>
    </w:r>
    <w:r w:rsidR="004B62EA">
      <w:rPr>
        <w:rStyle w:val="Sidetall"/>
        <w:color w:val="1381C4"/>
      </w:rPr>
      <w:fldChar w:fldCharType="separate"/>
    </w:r>
    <w:r w:rsidR="004B62EA">
      <w:rPr>
        <w:rStyle w:val="Sidetall"/>
        <w:color w:val="1381C4"/>
      </w:rPr>
      <w:t>20</w:t>
    </w:r>
    <w:r w:rsidR="004B62EA">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4B62EA"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5405CC0E"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62EA">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EC68B6" w:rsidP="00615DBA">
          <w:pPr>
            <w:pStyle w:val="Bunntekst"/>
            <w:tabs>
              <w:tab w:val="clear" w:pos="4153"/>
              <w:tab w:val="clear" w:pos="8306"/>
            </w:tabs>
            <w:spacing w:line="276" w:lineRule="auto"/>
            <w:rPr>
              <w:rFonts w:ascii="Helvetica" w:hAnsi="Helvetica"/>
              <w:color w:val="0000FF"/>
              <w:u w:val="single"/>
              <w:lang w:val="sq-AL"/>
            </w:rPr>
          </w:pPr>
          <w:hyperlink r:id="rId1" w:history="1">
            <w:r w:rsidR="00000433" w:rsidRPr="00493329">
              <w:rPr>
                <w:rStyle w:val="Hyperkobling"/>
                <w:rFonts w:cs="Arial"/>
                <w:color w:val="1381C4"/>
                <w:sz w:val="14"/>
                <w:lang w:val="sq-AL"/>
              </w:rPr>
              <w:t>support@bitvis.no</w:t>
            </w:r>
          </w:hyperlink>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A6B20" w14:textId="77777777" w:rsidR="00EC68B6" w:rsidRPr="009F58C4" w:rsidRDefault="00EC68B6">
      <w:pPr>
        <w:rPr>
          <w:rFonts w:ascii="Arial" w:hAnsi="Arial" w:cs="Arial"/>
          <w:lang w:val="sq-AL"/>
        </w:rPr>
      </w:pPr>
      <w:r w:rsidRPr="009F58C4">
        <w:rPr>
          <w:rFonts w:ascii="Arial" w:hAnsi="Arial" w:cs="Arial"/>
          <w:lang w:val="sq-AL"/>
        </w:rPr>
        <w:separator/>
      </w:r>
    </w:p>
    <w:p w14:paraId="6A2C92A0" w14:textId="77777777" w:rsidR="00EC68B6" w:rsidRDefault="00EC68B6"/>
  </w:footnote>
  <w:footnote w:type="continuationSeparator" w:id="0">
    <w:p w14:paraId="225996A5" w14:textId="77777777" w:rsidR="00EC68B6" w:rsidRPr="009F58C4" w:rsidRDefault="00EC68B6">
      <w:pPr>
        <w:rPr>
          <w:rFonts w:ascii="Arial" w:hAnsi="Arial" w:cs="Arial"/>
          <w:lang w:val="sq-AL"/>
        </w:rPr>
      </w:pPr>
      <w:r w:rsidRPr="009F58C4">
        <w:rPr>
          <w:rFonts w:ascii="Arial" w:hAnsi="Arial" w:cs="Arial"/>
          <w:lang w:val="sq-AL"/>
        </w:rPr>
        <w:continuationSeparator/>
      </w:r>
    </w:p>
    <w:p w14:paraId="61F5003F" w14:textId="77777777" w:rsidR="00EC68B6" w:rsidRDefault="00EC6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C639E-0278-4F1C-A3A7-5830A105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2992</Words>
  <Characters>15859</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2019-01-21T19:57:00Z</dcterms:modified>
</cp:coreProperties>
</file>