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E71AF6" w:rsidRPr="00CA2244" w:rsidRDefault="00E71AF6"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proofErr w:type="spellEnd"/>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E71AF6" w:rsidRPr="00CA2244" w:rsidRDefault="00E71AF6"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bookmarkStart w:id="0" w:name="_GoBack"/>
      <w:bookmarkEnd w:id="0"/>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fetch_result</w:t>
            </w:r>
            <w:proofErr w:type="spell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1"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1"/>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0EAA57BF" w:rsidR="00356047" w:rsidRDefault="00FE29AB" w:rsidP="009902B2">
      <w:r>
        <w:t xml:space="preserve">It is also possible to send a multicast to all instances of a VVC with ALL_INSTANCES as parameter for </w:t>
      </w:r>
      <w:proofErr w:type="spellStart"/>
      <w:r>
        <w:t>vvc_instance_idx</w:t>
      </w:r>
      <w:proofErr w:type="spellEnd"/>
      <w:r>
        <w:t>.</w:t>
      </w:r>
    </w:p>
    <w:p w14:paraId="37F4ED90" w14:textId="5B283D38" w:rsidR="000E0E93" w:rsidRPr="000E0E93" w:rsidRDefault="000E0E93" w:rsidP="009902B2">
      <w:pPr>
        <w:rPr>
          <w:i/>
        </w:rPr>
      </w:pPr>
      <w:r w:rsidRPr="000E0E93">
        <w:rPr>
          <w:i/>
        </w:rPr>
        <w:t xml:space="preserve">Note: Every procedure here can be called without the optional parameters enclosed in </w:t>
      </w:r>
      <w:proofErr w:type="gramStart"/>
      <w:r w:rsidRPr="000E0E93">
        <w:rPr>
          <w:i/>
        </w:rPr>
        <w:t>[ ]</w:t>
      </w:r>
      <w:proofErr w:type="gramEnd"/>
      <w:r w:rsidRPr="000E0E93">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spi_slave_receive_only</w:t>
            </w:r>
            <w:proofErr w:type="spellEnd"/>
            <w:r>
              <w:rPr>
                <w:rFonts w:cs="Helvetica"/>
                <w:sz w:val="15"/>
                <w:szCs w:val="15"/>
              </w:rPr>
              <w:t>()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fetch_result</w:t>
            </w:r>
            <w:proofErr w:type="spell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70D2EC73" w14:textId="77777777" w:rsidR="003B1D02" w:rsidRDefault="003B1D02" w:rsidP="00AB0F58">
            <w:pPr>
              <w:tabs>
                <w:tab w:val="left" w:pos="4820"/>
              </w:tabs>
              <w:spacing w:line="276" w:lineRule="auto"/>
              <w:rPr>
                <w:rFonts w:cs="Helvetica"/>
                <w:b/>
                <w:szCs w:val="14"/>
              </w:rPr>
            </w:pPr>
          </w:p>
          <w:p w14:paraId="4FA83951" w14:textId="77777777" w:rsidR="003B1D02" w:rsidRDefault="003B1D02" w:rsidP="00AB0F58">
            <w:pPr>
              <w:tabs>
                <w:tab w:val="left" w:pos="4820"/>
              </w:tabs>
              <w:spacing w:line="276" w:lineRule="auto"/>
              <w:rPr>
                <w:rFonts w:cs="Helvetica"/>
                <w:b/>
                <w:szCs w:val="14"/>
              </w:rPr>
            </w:pPr>
          </w:p>
          <w:p w14:paraId="6F413116" w14:textId="77777777" w:rsidR="003B1D02" w:rsidRDefault="003B1D02" w:rsidP="00AB0F58">
            <w:pPr>
              <w:tabs>
                <w:tab w:val="left" w:pos="4820"/>
              </w:tabs>
              <w:spacing w:line="276" w:lineRule="auto"/>
              <w:rPr>
                <w:rFonts w:cs="Helvetica"/>
                <w:b/>
                <w:szCs w:val="14"/>
              </w:rPr>
            </w:pPr>
          </w:p>
          <w:p w14:paraId="61BEF1B6" w14:textId="77777777" w:rsidR="003B1D02" w:rsidRDefault="003B1D02" w:rsidP="00AB0F58">
            <w:pPr>
              <w:tabs>
                <w:tab w:val="left" w:pos="4820"/>
              </w:tabs>
              <w:spacing w:line="276" w:lineRule="auto"/>
              <w:rPr>
                <w:rFonts w:cs="Helvetica"/>
                <w:b/>
                <w:szCs w:val="14"/>
              </w:rPr>
            </w:pPr>
          </w:p>
          <w:p w14:paraId="74BB1337" w14:textId="77777777" w:rsidR="003B1D02" w:rsidRDefault="003B1D02" w:rsidP="00AB0F58">
            <w:pPr>
              <w:tabs>
                <w:tab w:val="left" w:pos="4820"/>
              </w:tabs>
              <w:spacing w:line="276" w:lineRule="auto"/>
              <w:rPr>
                <w:rFonts w:cs="Helvetica"/>
                <w:b/>
                <w:szCs w:val="14"/>
              </w:rPr>
            </w:pPr>
          </w:p>
          <w:p w14:paraId="06F72FB5" w14:textId="77777777" w:rsidR="003B1D02" w:rsidRDefault="003B1D02" w:rsidP="00AB0F58">
            <w:pPr>
              <w:tabs>
                <w:tab w:val="left" w:pos="4820"/>
              </w:tabs>
              <w:spacing w:line="276" w:lineRule="auto"/>
              <w:rPr>
                <w:rFonts w:cs="Helvetica"/>
                <w:b/>
                <w:szCs w:val="14"/>
              </w:rPr>
            </w:pPr>
          </w:p>
          <w:p w14:paraId="6A750248" w14:textId="77777777" w:rsidR="003B1D02" w:rsidRDefault="003B1D02" w:rsidP="00AB0F58">
            <w:pPr>
              <w:tabs>
                <w:tab w:val="left" w:pos="4820"/>
              </w:tabs>
              <w:spacing w:line="276" w:lineRule="auto"/>
              <w:rPr>
                <w:rFonts w:cs="Helvetica"/>
                <w:b/>
                <w:szCs w:val="14"/>
              </w:rPr>
            </w:pPr>
          </w:p>
          <w:p w14:paraId="6F504365" w14:textId="77777777" w:rsidR="003B1D02" w:rsidRDefault="003B1D02" w:rsidP="00AB0F58">
            <w:pPr>
              <w:tabs>
                <w:tab w:val="left" w:pos="4820"/>
              </w:tabs>
              <w:spacing w:line="276" w:lineRule="auto"/>
              <w:rPr>
                <w:rFonts w:cs="Helvetica"/>
                <w:b/>
                <w:szCs w:val="14"/>
              </w:rPr>
            </w:pPr>
          </w:p>
          <w:p w14:paraId="45178190" w14:textId="77777777" w:rsidR="003B1D02" w:rsidRDefault="003B1D02" w:rsidP="00AB0F58">
            <w:pPr>
              <w:tabs>
                <w:tab w:val="left" w:pos="4820"/>
              </w:tabs>
              <w:spacing w:line="276" w:lineRule="auto"/>
              <w:rPr>
                <w:rFonts w:cs="Helvetica"/>
                <w:b/>
                <w:szCs w:val="14"/>
              </w:rPr>
            </w:pPr>
          </w:p>
          <w:p w14:paraId="6BDEE5BC" w14:textId="77777777" w:rsidR="003B1D02" w:rsidRDefault="003B1D02" w:rsidP="00AB0F58">
            <w:pPr>
              <w:tabs>
                <w:tab w:val="left" w:pos="4820"/>
              </w:tabs>
              <w:spacing w:line="276" w:lineRule="auto"/>
              <w:rPr>
                <w:rFonts w:cs="Helvetica"/>
                <w:b/>
                <w:szCs w:val="14"/>
              </w:rPr>
            </w:pPr>
          </w:p>
          <w:p w14:paraId="2E4BB04E" w14:textId="77777777" w:rsidR="003B1D02" w:rsidRDefault="003B1D02" w:rsidP="00AB0F58">
            <w:pPr>
              <w:tabs>
                <w:tab w:val="left" w:pos="4820"/>
              </w:tabs>
              <w:spacing w:line="276" w:lineRule="auto"/>
              <w:rPr>
                <w:rFonts w:cs="Helvetica"/>
                <w:b/>
                <w:szCs w:val="14"/>
              </w:rPr>
            </w:pPr>
          </w:p>
          <w:p w14:paraId="1F9ADBC2" w14:textId="77777777" w:rsidR="003B1D02" w:rsidRDefault="003B1D02" w:rsidP="00AB0F58">
            <w:pPr>
              <w:tabs>
                <w:tab w:val="left" w:pos="4820"/>
              </w:tabs>
              <w:spacing w:line="276" w:lineRule="auto"/>
              <w:rPr>
                <w:rFonts w:cs="Helvetica"/>
                <w:b/>
                <w:szCs w:val="14"/>
              </w:rPr>
            </w:pPr>
          </w:p>
          <w:p w14:paraId="37FA6E21" w14:textId="77777777" w:rsidR="003B1D02" w:rsidRDefault="003B1D02" w:rsidP="00AB0F58">
            <w:pPr>
              <w:tabs>
                <w:tab w:val="left" w:pos="4820"/>
              </w:tabs>
              <w:spacing w:line="276" w:lineRule="auto"/>
              <w:rPr>
                <w:rFonts w:cs="Helvetica"/>
                <w:b/>
                <w:szCs w:val="14"/>
              </w:rPr>
            </w:pPr>
          </w:p>
          <w:p w14:paraId="7D091A48" w14:textId="77777777" w:rsidR="003B1D02" w:rsidRDefault="003B1D02" w:rsidP="00AB0F58">
            <w:pPr>
              <w:tabs>
                <w:tab w:val="left" w:pos="4820"/>
              </w:tabs>
              <w:spacing w:line="276" w:lineRule="auto"/>
              <w:rPr>
                <w:rFonts w:cs="Helvetica"/>
                <w:b/>
                <w:szCs w:val="14"/>
              </w:rPr>
            </w:pPr>
          </w:p>
          <w:p w14:paraId="4201AA8D" w14:textId="77777777" w:rsidR="003B1D02" w:rsidRDefault="003B1D02" w:rsidP="00AB0F58">
            <w:pPr>
              <w:tabs>
                <w:tab w:val="left" w:pos="4820"/>
              </w:tabs>
              <w:spacing w:line="276" w:lineRule="auto"/>
              <w:rPr>
                <w:rFonts w:cs="Helvetica"/>
                <w:b/>
                <w:szCs w:val="14"/>
              </w:rPr>
            </w:pPr>
          </w:p>
          <w:p w14:paraId="639F95D2" w14:textId="77777777" w:rsidR="003B1D02" w:rsidRDefault="003B1D02" w:rsidP="00AB0F58">
            <w:pPr>
              <w:tabs>
                <w:tab w:val="left" w:pos="4820"/>
              </w:tabs>
              <w:spacing w:line="276" w:lineRule="auto"/>
              <w:rPr>
                <w:rFonts w:cs="Helvetica"/>
                <w:b/>
                <w:szCs w:val="14"/>
              </w:rPr>
            </w:pPr>
          </w:p>
          <w:p w14:paraId="46BDBB75" w14:textId="77777777" w:rsidR="003B1D02" w:rsidRDefault="003B1D02" w:rsidP="00AB0F58">
            <w:pPr>
              <w:tabs>
                <w:tab w:val="left" w:pos="4820"/>
              </w:tabs>
              <w:spacing w:line="276" w:lineRule="auto"/>
              <w:rPr>
                <w:rFonts w:cs="Helvetica"/>
                <w:b/>
                <w:szCs w:val="14"/>
              </w:rPr>
            </w:pPr>
          </w:p>
          <w:p w14:paraId="19747D21" w14:textId="77777777" w:rsidR="003B1D02" w:rsidRDefault="003B1D02" w:rsidP="00AB0F58">
            <w:pPr>
              <w:tabs>
                <w:tab w:val="left" w:pos="4820"/>
              </w:tabs>
              <w:spacing w:line="276" w:lineRule="auto"/>
              <w:rPr>
                <w:rFonts w:cs="Helvetica"/>
                <w:b/>
                <w:szCs w:val="14"/>
              </w:rPr>
            </w:pPr>
          </w:p>
          <w:p w14:paraId="4EE73B5A" w14:textId="77777777" w:rsidR="003B1D02" w:rsidRDefault="003B1D02" w:rsidP="00AB0F58">
            <w:pPr>
              <w:tabs>
                <w:tab w:val="left" w:pos="4820"/>
              </w:tabs>
              <w:spacing w:line="276" w:lineRule="auto"/>
              <w:rPr>
                <w:rFonts w:cs="Helvetica"/>
                <w:b/>
                <w:szCs w:val="14"/>
              </w:rPr>
            </w:pPr>
          </w:p>
          <w:p w14:paraId="09D83E5C" w14:textId="77777777" w:rsidR="003B1D02" w:rsidRDefault="003B1D02" w:rsidP="00AB0F58">
            <w:pPr>
              <w:tabs>
                <w:tab w:val="left" w:pos="4820"/>
              </w:tabs>
              <w:spacing w:line="276" w:lineRule="auto"/>
              <w:rPr>
                <w:rFonts w:cs="Helvetica"/>
                <w:b/>
                <w:szCs w:val="14"/>
              </w:rPr>
            </w:pPr>
          </w:p>
          <w:p w14:paraId="07D2E00E" w14:textId="77777777" w:rsidR="003B1D02" w:rsidRDefault="003B1D02" w:rsidP="00AB0F58">
            <w:pPr>
              <w:tabs>
                <w:tab w:val="left" w:pos="4820"/>
              </w:tabs>
              <w:spacing w:line="276" w:lineRule="auto"/>
              <w:rPr>
                <w:rFonts w:cs="Helvetica"/>
                <w:b/>
                <w:szCs w:val="14"/>
              </w:rPr>
            </w:pPr>
          </w:p>
          <w:p w14:paraId="1469313F" w14:textId="77777777" w:rsidR="003B1D02" w:rsidRDefault="003B1D02" w:rsidP="00AB0F58">
            <w:pPr>
              <w:tabs>
                <w:tab w:val="left" w:pos="4820"/>
              </w:tabs>
              <w:spacing w:line="276" w:lineRule="auto"/>
              <w:rPr>
                <w:rFonts w:cs="Helvetica"/>
                <w:b/>
                <w:szCs w:val="14"/>
              </w:rPr>
            </w:pPr>
          </w:p>
          <w:p w14:paraId="7E13A27C" w14:textId="77777777" w:rsidR="003B1D02" w:rsidRDefault="003B1D02" w:rsidP="00AB0F58">
            <w:pPr>
              <w:tabs>
                <w:tab w:val="left" w:pos="4820"/>
              </w:tabs>
              <w:spacing w:line="276" w:lineRule="auto"/>
              <w:rPr>
                <w:rFonts w:cs="Helvetica"/>
                <w:b/>
                <w:szCs w:val="14"/>
              </w:rPr>
            </w:pPr>
          </w:p>
          <w:p w14:paraId="7C9E1F6E" w14:textId="77777777" w:rsidR="003B1D02" w:rsidRDefault="003B1D02" w:rsidP="00AB0F58">
            <w:pPr>
              <w:tabs>
                <w:tab w:val="left" w:pos="4820"/>
              </w:tabs>
              <w:spacing w:line="276" w:lineRule="auto"/>
              <w:rPr>
                <w:rFonts w:cs="Helvetica"/>
                <w:b/>
                <w:szCs w:val="14"/>
              </w:rPr>
            </w:pPr>
          </w:p>
          <w:p w14:paraId="08F2FA30" w14:textId="77777777" w:rsidR="003B1D02" w:rsidRDefault="003B1D02" w:rsidP="00AB0F58">
            <w:pPr>
              <w:tabs>
                <w:tab w:val="left" w:pos="4820"/>
              </w:tabs>
              <w:spacing w:line="276" w:lineRule="auto"/>
              <w:rPr>
                <w:rFonts w:cs="Helvetica"/>
                <w:b/>
                <w:szCs w:val="14"/>
              </w:rPr>
            </w:pPr>
          </w:p>
          <w:p w14:paraId="536C2E42" w14:textId="77777777" w:rsidR="003B1D02" w:rsidRDefault="003B1D02" w:rsidP="00AB0F58">
            <w:pPr>
              <w:tabs>
                <w:tab w:val="left" w:pos="4820"/>
              </w:tabs>
              <w:spacing w:line="276" w:lineRule="auto"/>
              <w:rPr>
                <w:rFonts w:cs="Helvetica"/>
                <w:b/>
                <w:szCs w:val="14"/>
              </w:rPr>
            </w:pPr>
          </w:p>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4E9C8" w14:textId="77777777" w:rsidR="00F136A8" w:rsidRPr="009F58C4" w:rsidRDefault="00F136A8">
      <w:pPr>
        <w:rPr>
          <w:rFonts w:ascii="Arial" w:hAnsi="Arial" w:cs="Arial"/>
          <w:lang w:val="sq-AL"/>
        </w:rPr>
      </w:pPr>
      <w:r w:rsidRPr="009F58C4">
        <w:rPr>
          <w:rFonts w:ascii="Arial" w:hAnsi="Arial" w:cs="Arial"/>
          <w:lang w:val="sq-AL"/>
        </w:rPr>
        <w:separator/>
      </w:r>
    </w:p>
  </w:endnote>
  <w:endnote w:type="continuationSeparator" w:id="0">
    <w:p w14:paraId="1792B46C" w14:textId="77777777" w:rsidR="00F136A8" w:rsidRPr="009F58C4" w:rsidRDefault="00F136A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4F439B"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07D830C"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F439B">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F439B">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F136A8"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D8BD6" w14:textId="77777777" w:rsidR="00F136A8" w:rsidRPr="009F58C4" w:rsidRDefault="00F136A8">
      <w:pPr>
        <w:rPr>
          <w:rFonts w:ascii="Arial" w:hAnsi="Arial" w:cs="Arial"/>
          <w:lang w:val="sq-AL"/>
        </w:rPr>
      </w:pPr>
      <w:r w:rsidRPr="009F58C4">
        <w:rPr>
          <w:rFonts w:ascii="Arial" w:hAnsi="Arial" w:cs="Arial"/>
          <w:lang w:val="sq-AL"/>
        </w:rPr>
        <w:separator/>
      </w:r>
    </w:p>
  </w:footnote>
  <w:footnote w:type="continuationSeparator" w:id="0">
    <w:p w14:paraId="6A5318A1" w14:textId="77777777" w:rsidR="00F136A8" w:rsidRPr="009F58C4" w:rsidRDefault="00F136A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88C0-AB16-4FA2-BB30-606B8B16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4389</Words>
  <Characters>23263</Characters>
  <Application>Microsoft Office Word</Application>
  <DocSecurity>0</DocSecurity>
  <Lines>193</Lines>
  <Paragraphs>55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27597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2019-06-06T11:51:00Z</dcterms:modified>
</cp:coreProperties>
</file>