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4F1FA3" w:rsidR="005A2CB9" w:rsidRPr="00662DF1" w:rsidRDefault="001B33AA" w:rsidP="001B33A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1B33AA">
              <w:rPr>
                <w:rFonts w:cs="Helvetica"/>
                <w:b w:val="0"/>
                <w:bCs w:val="0"/>
                <w:sz w:val="15"/>
                <w:szCs w:val="28"/>
              </w:rPr>
              <w:t>uart_transmit</w:t>
            </w:r>
            <w:proofErr w:type="spellEnd"/>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D6A04D7"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B3274">
              <w:rPr>
                <w:rFonts w:cs="Helvetica"/>
                <w:b w:val="0"/>
                <w:bCs w:val="0"/>
                <w:sz w:val="15"/>
                <w:szCs w:val="28"/>
              </w:rPr>
              <w:t>uart_receive</w:t>
            </w:r>
            <w:proofErr w:type="spell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117FC0C"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proofErr w:type="spellEnd"/>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984625">
        <w:trPr>
          <w:trHeight w:val="100"/>
          <w:jc w:val="center"/>
        </w:trPr>
        <w:tc>
          <w:tcPr>
            <w:tcW w:w="1872" w:type="dxa"/>
            <w:tcBorders>
              <w:left w:val="nil"/>
              <w:bottom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bottom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bottom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bottom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32609D41"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uart_transmit</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9F5740C"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uart_transmit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channel, </w:t>
            </w:r>
            <w:r w:rsidRPr="009C4146">
              <w:rPr>
                <w:rFonts w:cs="Helvetica"/>
                <w:b/>
                <w:sz w:val="15"/>
                <w:szCs w:val="15"/>
              </w:rPr>
              <w:t>data, msg)</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uart_transmit</w:t>
            </w:r>
            <w:proofErr w:type="spell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uart_transmit</w:t>
            </w:r>
            <w:proofErr w:type="spellEnd"/>
            <w:r w:rsidR="00A17A16">
              <w:rPr>
                <w:rFonts w:cs="Helvetica"/>
                <w:sz w:val="15"/>
                <w:szCs w:val="15"/>
              </w:rPr>
              <w: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39A81B6A"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receive</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6F4632B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uart_receive</w:t>
            </w:r>
            <w:proofErr w:type="spell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uart_receive</w:t>
            </w:r>
            <w:proofErr w:type="spellEnd"/>
            <w:r w:rsidR="006C3E42">
              <w:rPr>
                <w:rFonts w:cs="Helvetica"/>
                <w:sz w:val="15"/>
                <w:szCs w:val="15"/>
              </w:rPr>
              <w:t>()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D85CED" w14:textId="0D0D08F3"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w:t>
            </w:r>
            <w:r w:rsidR="00356047" w:rsidRPr="00B93AB8">
              <w:rPr>
                <w:rFonts w:ascii="Courier New" w:hAnsi="Courier New" w:cs="Courier New"/>
                <w:sz w:val="15"/>
                <w:szCs w:val="15"/>
              </w:rPr>
              <w:t xml:space="preserve">_VVCT, 1, </w:t>
            </w:r>
            <w:r w:rsidR="006C3E42" w:rsidRPr="00B93AB8">
              <w:rPr>
                <w:rFonts w:ascii="Courier New" w:hAnsi="Courier New" w:cs="Courier New"/>
                <w:sz w:val="15"/>
                <w:szCs w:val="15"/>
              </w:rPr>
              <w:t xml:space="preserve">RX, </w:t>
            </w:r>
            <w:r w:rsidR="00356047" w:rsidRPr="00B93AB8">
              <w:rPr>
                <w:rFonts w:ascii="Courier New" w:hAnsi="Courier New" w:cs="Courier New"/>
                <w:sz w:val="15"/>
                <w:szCs w:val="15"/>
              </w:rPr>
              <w:t>“</w:t>
            </w:r>
            <w:r w:rsidR="00750FF7" w:rsidRPr="00B93AB8">
              <w:rPr>
                <w:rFonts w:ascii="Courier New" w:hAnsi="Courier New" w:cs="Courier New"/>
                <w:sz w:val="15"/>
                <w:szCs w:val="15"/>
              </w:rPr>
              <w:t>Receiving</w:t>
            </w:r>
            <w:r w:rsidR="00356047" w:rsidRPr="00B93AB8">
              <w:rPr>
                <w:rFonts w:ascii="Courier New" w:hAnsi="Courier New" w:cs="Courier New"/>
                <w:sz w:val="15"/>
                <w:szCs w:val="15"/>
              </w:rPr>
              <w:t xml:space="preserve"> from Peripheral 1”); </w:t>
            </w:r>
          </w:p>
          <w:p w14:paraId="312D4C0B" w14:textId="7A03C0E5" w:rsidR="00225726" w:rsidRPr="009C4146" w:rsidRDefault="00225726" w:rsidP="00225726">
            <w:pPr>
              <w:tabs>
                <w:tab w:val="left" w:pos="4820"/>
              </w:tabs>
              <w:spacing w:line="276" w:lineRule="auto"/>
              <w:rPr>
                <w:rFonts w:cs="Helvetica"/>
                <w:sz w:val="15"/>
                <w:szCs w:val="15"/>
              </w:rPr>
            </w:pPr>
            <w:r w:rsidRPr="009C4146">
              <w:rPr>
                <w:rFonts w:cs="Helvetica"/>
                <w:sz w:val="15"/>
                <w:szCs w:val="15"/>
              </w:rPr>
              <w:t>The proce</w:t>
            </w:r>
            <w:r w:rsidR="00BB7B24">
              <w:rPr>
                <w:rFonts w:cs="Helvetica"/>
                <w:sz w:val="15"/>
                <w:szCs w:val="15"/>
              </w:rPr>
              <w:t xml:space="preserve">dure can also be called with </w:t>
            </w:r>
            <w:r w:rsidRPr="009C4146">
              <w:rPr>
                <w:rFonts w:cs="Helvetica"/>
                <w:sz w:val="15"/>
                <w:szCs w:val="15"/>
              </w:rPr>
              <w:t>the optional parameters, e.g.:</w:t>
            </w:r>
          </w:p>
          <w:p w14:paraId="1B98D861" w14:textId="68E6D337"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3E42" w:rsidRPr="00B93AB8">
              <w:rPr>
                <w:rFonts w:ascii="Courier New" w:hAnsi="Courier New" w:cs="Courier New"/>
                <w:sz w:val="15"/>
                <w:szCs w:val="15"/>
              </w:rPr>
              <w:t>uart_receive</w:t>
            </w:r>
            <w:proofErr w:type="spellEnd"/>
            <w:r w:rsidR="006C3E42" w:rsidRPr="00B93AB8">
              <w:rPr>
                <w:rFonts w:ascii="Courier New" w:hAnsi="Courier New" w:cs="Courier New"/>
                <w:sz w:val="15"/>
                <w:szCs w:val="15"/>
              </w:rPr>
              <w:t xml:space="preser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uart_receive</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77777777"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r>
              <w:rPr>
                <w:rFonts w:cs="Helvetica"/>
                <w:b/>
                <w:szCs w:val="14"/>
              </w:rPr>
              <w:t>expect</w:t>
            </w:r>
            <w:proofErr w:type="spell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4C874C77"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uart_expect</w:t>
            </w:r>
            <w:proofErr w:type="spell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uart_expect</w:t>
            </w:r>
            <w:proofErr w:type="spell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02E9610A"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39DD0659" w14:textId="14D5863C"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w:t>
            </w:r>
            <w:r w:rsidR="00BB7B24">
              <w:rPr>
                <w:rFonts w:cs="Helvetica"/>
                <w:sz w:val="15"/>
                <w:szCs w:val="15"/>
              </w:rPr>
              <w:t>cedure can also be called with</w:t>
            </w:r>
            <w:r w:rsidRPr="009C4146">
              <w:rPr>
                <w:rFonts w:cs="Helvetica"/>
                <w:sz w:val="15"/>
                <w:szCs w:val="15"/>
              </w:rPr>
              <w:t xml:space="preserve"> the optional parameters, e.g.:</w:t>
            </w:r>
          </w:p>
          <w:p w14:paraId="7036D9FD" w14:textId="0292EC40"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2B7E27"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shared_uart_vvc_config</w:t>
      </w:r>
      <w:proofErr w:type="spell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6386592E" w:rsidR="008E7216" w:rsidRDefault="008E7216"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bookmarkStart w:id="2" w:name="_GoBack"/>
      <w:bookmarkEnd w:id="2"/>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C91B7" w14:textId="77777777" w:rsidR="00772A19" w:rsidRPr="009F58C4" w:rsidRDefault="00772A19">
      <w:pPr>
        <w:rPr>
          <w:rFonts w:ascii="Arial" w:hAnsi="Arial" w:cs="Arial"/>
          <w:lang w:val="sq-AL"/>
        </w:rPr>
      </w:pPr>
      <w:r w:rsidRPr="009F58C4">
        <w:rPr>
          <w:rFonts w:ascii="Arial" w:hAnsi="Arial" w:cs="Arial"/>
          <w:lang w:val="sq-AL"/>
        </w:rPr>
        <w:separator/>
      </w:r>
    </w:p>
  </w:endnote>
  <w:endnote w:type="continuationSeparator" w:id="0">
    <w:p w14:paraId="064A0434" w14:textId="77777777" w:rsidR="00772A19" w:rsidRPr="009F58C4" w:rsidRDefault="00772A1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CA60B52"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2D64EC">
      <w:rPr>
        <w:rStyle w:val="Sidetall"/>
        <w:color w:val="1381C4"/>
      </w:rPr>
      <w:fldChar w:fldCharType="begin"/>
    </w:r>
    <w:r w:rsidR="002D64EC">
      <w:rPr>
        <w:rStyle w:val="Sidetall"/>
        <w:color w:val="1381C4"/>
      </w:rPr>
      <w:instrText xml:space="preserve"> NUMPAGES   \* MERGEFORMAT </w:instrText>
    </w:r>
    <w:r w:rsidR="002D64EC">
      <w:rPr>
        <w:rStyle w:val="Sidetall"/>
        <w:color w:val="1381C4"/>
      </w:rPr>
      <w:fldChar w:fldCharType="separate"/>
    </w:r>
    <w:r w:rsidR="002D64EC">
      <w:rPr>
        <w:rStyle w:val="Sidetall"/>
        <w:color w:val="1381C4"/>
      </w:rPr>
      <w:t>20</w:t>
    </w:r>
    <w:r w:rsidR="002D64EC">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2D64EC"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F352828"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2.1</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2D64EC">
            <w:rPr>
              <w:rFonts w:ascii="Helvetica" w:hAnsi="Helvetica" w:cs="Arial"/>
              <w:noProof/>
              <w:color w:val="1381C4"/>
              <w:sz w:val="14"/>
              <w:lang w:val="en-US"/>
            </w:rPr>
            <w:t>2019-01-21</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772A19"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94EB6" w14:textId="77777777" w:rsidR="00772A19" w:rsidRPr="009F58C4" w:rsidRDefault="00772A19">
      <w:pPr>
        <w:rPr>
          <w:rFonts w:ascii="Arial" w:hAnsi="Arial" w:cs="Arial"/>
          <w:lang w:val="sq-AL"/>
        </w:rPr>
      </w:pPr>
      <w:r w:rsidRPr="009F58C4">
        <w:rPr>
          <w:rFonts w:ascii="Arial" w:hAnsi="Arial" w:cs="Arial"/>
          <w:lang w:val="sq-AL"/>
        </w:rPr>
        <w:separator/>
      </w:r>
    </w:p>
  </w:footnote>
  <w:footnote w:type="continuationSeparator" w:id="0">
    <w:p w14:paraId="15AC7249" w14:textId="77777777" w:rsidR="00772A19" w:rsidRPr="009F58C4" w:rsidRDefault="00772A1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7345"/>
    <w:rsid w:val="000C0876"/>
    <w:rsid w:val="000C35D0"/>
    <w:rsid w:val="000C4A2D"/>
    <w:rsid w:val="000C71D0"/>
    <w:rsid w:val="000D415F"/>
    <w:rsid w:val="000D4711"/>
    <w:rsid w:val="000D607E"/>
    <w:rsid w:val="000D72F1"/>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985A7-9527-406E-895E-C680C561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1928</Words>
  <Characters>10222</Characters>
  <Application>Microsoft Office Word</Application>
  <DocSecurity>0</DocSecurity>
  <Lines>85</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12126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2019-01-21T20:01:00Z</dcterms:modified>
</cp:coreProperties>
</file>