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w:t>
            </w:r>
            <w:proofErr w:type="gramStart"/>
            <w:r w:rsidR="005B3274">
              <w:rPr>
                <w:rFonts w:cs="Helvetica"/>
                <w:b w:val="0"/>
                <w:bCs w:val="0"/>
                <w:sz w:val="15"/>
                <w:szCs w:val="28"/>
              </w:rPr>
              <w:t>receive</w:t>
            </w:r>
            <w:proofErr w:type="spellEnd"/>
            <w:r w:rsidR="0092213F">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 xml:space="preserve">data, </w:t>
            </w:r>
            <w:proofErr w:type="spellStart"/>
            <w:r w:rsidRPr="009C4146">
              <w:rPr>
                <w:rFonts w:cs="Helvetica"/>
                <w:b/>
                <w:sz w:val="15"/>
                <w:szCs w:val="15"/>
              </w:rPr>
              <w:t>msg</w:t>
            </w:r>
            <w:proofErr w:type="spellEnd"/>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83740A">
        <w:trPr>
          <w:gridAfter w:val="1"/>
          <w:wAfter w:w="405" w:type="dxa"/>
          <w:ins w:id="2" w:author="Forfatter"/>
        </w:trPr>
        <w:tc>
          <w:tcPr>
            <w:tcW w:w="3777" w:type="dxa"/>
            <w:tcBorders>
              <w:left w:val="nil"/>
              <w:bottom w:val="nil"/>
              <w:right w:val="nil"/>
            </w:tcBorders>
            <w:shd w:val="clear" w:color="auto" w:fill="auto"/>
          </w:tcPr>
          <w:p w14:paraId="4DBA363F" w14:textId="42621A24" w:rsidR="00903EAF" w:rsidRPr="009C4146" w:rsidRDefault="00903EAF" w:rsidP="00903EAF">
            <w:pPr>
              <w:spacing w:line="276" w:lineRule="auto"/>
              <w:rPr>
                <w:ins w:id="3" w:author="Forfatter"/>
                <w:rFonts w:cs="Helvetica"/>
                <w:sz w:val="15"/>
                <w:szCs w:val="18"/>
              </w:rPr>
            </w:pPr>
            <w:commentRangeStart w:id="4"/>
            <w:proofErr w:type="spellStart"/>
            <w:ins w:id="5" w:author="Forfatter">
              <w:r>
                <w:rPr>
                  <w:rFonts w:cs="Helvetica"/>
                  <w:sz w:val="15"/>
                  <w:szCs w:val="18"/>
                </w:rPr>
                <w:t>error_injection_config</w:t>
              </w:r>
              <w:proofErr w:type="spellEnd"/>
              <w:r w:rsidRPr="009C4146">
                <w:rPr>
                  <w:rFonts w:cs="Helvetica"/>
                  <w:sz w:val="15"/>
                  <w:szCs w:val="18"/>
                </w:rPr>
                <w:t xml:space="preserve">           </w:t>
              </w:r>
              <w:commentRangeEnd w:id="4"/>
              <w:r>
                <w:rPr>
                  <w:rStyle w:val="Merknadsreferanse"/>
                </w:rPr>
                <w:commentReference w:id="4"/>
              </w:r>
            </w:ins>
          </w:p>
        </w:tc>
        <w:tc>
          <w:tcPr>
            <w:tcW w:w="2064" w:type="dxa"/>
            <w:tcBorders>
              <w:left w:val="nil"/>
              <w:bottom w:val="nil"/>
              <w:right w:val="nil"/>
            </w:tcBorders>
            <w:shd w:val="clear" w:color="auto" w:fill="auto"/>
          </w:tcPr>
          <w:p w14:paraId="7BBFE93F" w14:textId="4891ABBF" w:rsidR="00903EAF" w:rsidRPr="009C4146" w:rsidRDefault="00903EAF" w:rsidP="00903EAF">
            <w:pPr>
              <w:spacing w:line="276" w:lineRule="auto"/>
              <w:rPr>
                <w:ins w:id="6" w:author="Forfatter"/>
                <w:rFonts w:cs="Helvetica"/>
                <w:sz w:val="15"/>
                <w:szCs w:val="18"/>
              </w:rPr>
            </w:pPr>
            <w:proofErr w:type="spellStart"/>
            <w:ins w:id="7" w:author="Forfatter">
              <w:r w:rsidRPr="009C4146">
                <w:rPr>
                  <w:rFonts w:cs="Helvetica"/>
                  <w:sz w:val="15"/>
                  <w:szCs w:val="18"/>
                </w:rPr>
                <w:t>t</w:t>
              </w:r>
              <w:r>
                <w:rPr>
                  <w:rFonts w:cs="Helvetica"/>
                  <w:sz w:val="15"/>
                  <w:szCs w:val="18"/>
                </w:rPr>
                <w:t>_error_injection_config</w:t>
              </w:r>
              <w:proofErr w:type="spellEnd"/>
            </w:ins>
          </w:p>
        </w:tc>
        <w:tc>
          <w:tcPr>
            <w:tcW w:w="4190" w:type="dxa"/>
            <w:tcBorders>
              <w:left w:val="nil"/>
              <w:bottom w:val="nil"/>
              <w:right w:val="nil"/>
            </w:tcBorders>
            <w:shd w:val="clear" w:color="auto" w:fill="auto"/>
          </w:tcPr>
          <w:p w14:paraId="0C641857" w14:textId="1F870D23" w:rsidR="00903EAF" w:rsidRPr="009C4146" w:rsidRDefault="00903EAF" w:rsidP="00903EAF">
            <w:pPr>
              <w:spacing w:line="276" w:lineRule="auto"/>
              <w:rPr>
                <w:ins w:id="8" w:author="Forfatter"/>
                <w:rFonts w:cs="Helvetica"/>
                <w:sz w:val="15"/>
                <w:szCs w:val="18"/>
              </w:rPr>
            </w:pPr>
            <w:ins w:id="9" w:author="Forfatter">
              <w:r w:rsidRPr="009C4146">
                <w:rPr>
                  <w:rFonts w:cs="Helvetica"/>
                  <w:sz w:val="15"/>
                  <w:szCs w:val="18"/>
                </w:rPr>
                <w:t>C_</w:t>
              </w:r>
              <w:r>
                <w:rPr>
                  <w:rFonts w:cs="Helvetica"/>
                  <w:sz w:val="15"/>
                  <w:szCs w:val="18"/>
                </w:rPr>
                <w:t>ERROR_INJECTION</w:t>
              </w:r>
              <w:r>
                <w:rPr>
                  <w:rFonts w:cs="Helvetica"/>
                  <w:sz w:val="15"/>
                  <w:szCs w:val="18"/>
                </w:rPr>
                <w:t>_INACTIVE</w:t>
              </w:r>
            </w:ins>
          </w:p>
        </w:tc>
        <w:tc>
          <w:tcPr>
            <w:tcW w:w="5098"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ins w:id="10" w:author="Forfatter"/>
                <w:rFonts w:cs="Helvetica"/>
                <w:sz w:val="15"/>
                <w:szCs w:val="18"/>
              </w:rPr>
            </w:pPr>
            <w:ins w:id="11" w:author="Forfatte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ins>
          </w:p>
        </w:tc>
      </w:tr>
      <w:tr w:rsidR="00903EAF"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3C99FA7" w:rsidR="008E7216" w:rsidRDefault="008E7216" w:rsidP="00B3773C">
      <w:pPr>
        <w:rPr>
          <w:ins w:id="12" w:author="Forfatter"/>
          <w:rFonts w:ascii="Courier New" w:hAnsi="Courier New" w:cs="Courier New"/>
          <w:szCs w:val="18"/>
        </w:rPr>
      </w:pPr>
    </w:p>
    <w:p w14:paraId="3AED8E3F" w14:textId="5640BE95" w:rsidR="009517AC" w:rsidRPr="00F53B2D" w:rsidRDefault="009517AC" w:rsidP="009517AC">
      <w:pPr>
        <w:pStyle w:val="Undertittel"/>
        <w:spacing w:after="40"/>
        <w:rPr>
          <w:ins w:id="13" w:author="Forfatter"/>
          <w:szCs w:val="24"/>
        </w:rPr>
      </w:pPr>
      <w:ins w:id="14" w:author="Forfatter">
        <w:r>
          <w:rPr>
            <w:szCs w:val="24"/>
          </w:rPr>
          <w:t>VVC</w:t>
        </w:r>
        <w:r>
          <w:rPr>
            <w:szCs w:val="24"/>
          </w:rPr>
          <w:t xml:space="preserve"> Error injection record (inside the </w:t>
        </w:r>
        <w:r>
          <w:rPr>
            <w:szCs w:val="24"/>
          </w:rPr>
          <w:t>VVC</w:t>
        </w:r>
        <w:r>
          <w:rPr>
            <w:szCs w:val="24"/>
          </w:rPr>
          <w:t xml:space="preserve"> configuration record</w:t>
        </w:r>
        <w:r>
          <w:rPr>
            <w:szCs w:val="24"/>
          </w:rPr>
          <w:t xml:space="preserve"> above</w:t>
        </w:r>
        <w:r>
          <w:rPr>
            <w:szCs w:val="24"/>
          </w:rPr>
          <w:t>)</w:t>
        </w:r>
      </w:ins>
    </w:p>
    <w:tbl>
      <w:tblPr>
        <w:tblW w:w="5000" w:type="pct"/>
        <w:shd w:val="clear" w:color="auto" w:fill="FFFFFF" w:themeFill="background1"/>
        <w:tblLook w:val="04A0" w:firstRow="1" w:lastRow="0" w:firstColumn="1" w:lastColumn="0" w:noHBand="0" w:noVBand="1"/>
      </w:tblPr>
      <w:tblGrid>
        <w:gridCol w:w="1785"/>
        <w:gridCol w:w="1443"/>
        <w:gridCol w:w="1557"/>
        <w:gridCol w:w="10570"/>
      </w:tblGrid>
      <w:tr w:rsidR="009517AC" w:rsidRPr="00F53B2D" w14:paraId="55989395" w14:textId="77777777" w:rsidTr="00F53B2D">
        <w:trPr>
          <w:ins w:id="15" w:author="Forfatter"/>
        </w:trPr>
        <w:tc>
          <w:tcPr>
            <w:tcW w:w="581" w:type="pct"/>
            <w:shd w:val="clear" w:color="auto" w:fill="FFFFFF" w:themeFill="background1"/>
          </w:tcPr>
          <w:p w14:paraId="4676D0B1" w14:textId="77777777" w:rsidR="009517AC" w:rsidRPr="00950400" w:rsidRDefault="009517AC" w:rsidP="00F53B2D">
            <w:pPr>
              <w:shd w:val="clear" w:color="auto" w:fill="FFFFFF" w:themeFill="background1"/>
              <w:tabs>
                <w:tab w:val="left" w:pos="4820"/>
              </w:tabs>
              <w:rPr>
                <w:ins w:id="16" w:author="Forfatter"/>
                <w:b/>
                <w:bCs/>
                <w:szCs w:val="18"/>
              </w:rPr>
            </w:pPr>
            <w:ins w:id="17" w:author="Forfatter">
              <w:r w:rsidRPr="00950400">
                <w:rPr>
                  <w:b/>
                  <w:bCs/>
                  <w:szCs w:val="18"/>
                </w:rPr>
                <w:t>Field name</w:t>
              </w:r>
            </w:ins>
          </w:p>
        </w:tc>
        <w:tc>
          <w:tcPr>
            <w:tcW w:w="470" w:type="pct"/>
            <w:shd w:val="clear" w:color="auto" w:fill="FFFFFF" w:themeFill="background1"/>
          </w:tcPr>
          <w:p w14:paraId="5730ECEB" w14:textId="77777777" w:rsidR="009517AC" w:rsidRPr="00950400" w:rsidRDefault="009517AC" w:rsidP="00F53B2D">
            <w:pPr>
              <w:shd w:val="clear" w:color="auto" w:fill="FFFFFF" w:themeFill="background1"/>
              <w:tabs>
                <w:tab w:val="left" w:pos="4820"/>
              </w:tabs>
              <w:rPr>
                <w:ins w:id="18" w:author="Forfatter"/>
                <w:b/>
                <w:bCs/>
                <w:szCs w:val="18"/>
              </w:rPr>
            </w:pPr>
            <w:ins w:id="19" w:author="Forfatter">
              <w:r w:rsidRPr="00950400">
                <w:rPr>
                  <w:b/>
                  <w:bCs/>
                  <w:szCs w:val="18"/>
                </w:rPr>
                <w:t>Type name</w:t>
              </w:r>
            </w:ins>
          </w:p>
        </w:tc>
        <w:tc>
          <w:tcPr>
            <w:tcW w:w="507" w:type="pct"/>
            <w:shd w:val="clear" w:color="auto" w:fill="FFFFFF" w:themeFill="background1"/>
          </w:tcPr>
          <w:p w14:paraId="0AFDCC51" w14:textId="77777777" w:rsidR="009517AC" w:rsidRPr="00950400" w:rsidRDefault="009517AC" w:rsidP="00F53B2D">
            <w:pPr>
              <w:shd w:val="clear" w:color="auto" w:fill="FFFFFF" w:themeFill="background1"/>
              <w:tabs>
                <w:tab w:val="left" w:pos="4820"/>
              </w:tabs>
              <w:rPr>
                <w:ins w:id="20" w:author="Forfatter"/>
                <w:b/>
                <w:bCs/>
                <w:szCs w:val="18"/>
              </w:rPr>
            </w:pPr>
            <w:ins w:id="21" w:author="Forfatter">
              <w:r>
                <w:rPr>
                  <w:b/>
                  <w:bCs/>
                  <w:szCs w:val="18"/>
                </w:rPr>
                <w:t>Default value</w:t>
              </w:r>
            </w:ins>
          </w:p>
        </w:tc>
        <w:tc>
          <w:tcPr>
            <w:tcW w:w="3442" w:type="pct"/>
            <w:shd w:val="clear" w:color="auto" w:fill="FFFFFF" w:themeFill="background1"/>
          </w:tcPr>
          <w:p w14:paraId="4593E3D7" w14:textId="77777777" w:rsidR="009517AC" w:rsidRPr="00950400" w:rsidRDefault="009517AC" w:rsidP="00F53B2D">
            <w:pPr>
              <w:shd w:val="clear" w:color="auto" w:fill="FFFFFF" w:themeFill="background1"/>
              <w:tabs>
                <w:tab w:val="left" w:pos="4820"/>
              </w:tabs>
              <w:rPr>
                <w:ins w:id="22" w:author="Forfatter"/>
                <w:b/>
                <w:bCs/>
                <w:szCs w:val="18"/>
              </w:rPr>
            </w:pPr>
            <w:ins w:id="23" w:author="Forfatter">
              <w:r w:rsidRPr="00950400">
                <w:rPr>
                  <w:b/>
                  <w:bCs/>
                  <w:szCs w:val="18"/>
                </w:rPr>
                <w:t>Description</w:t>
              </w:r>
            </w:ins>
          </w:p>
        </w:tc>
      </w:tr>
      <w:tr w:rsidR="009517AC" w:rsidRPr="00F53B2D" w14:paraId="4F5991C2" w14:textId="77777777" w:rsidTr="00F53B2D">
        <w:trPr>
          <w:ins w:id="24" w:author="Forfatter"/>
        </w:trPr>
        <w:tc>
          <w:tcPr>
            <w:tcW w:w="581" w:type="pct"/>
            <w:shd w:val="clear" w:color="auto" w:fill="FFFFFF" w:themeFill="background1"/>
          </w:tcPr>
          <w:p w14:paraId="5962AB38" w14:textId="21B55E99" w:rsidR="009517AC" w:rsidRPr="00C4111E" w:rsidRDefault="009517AC" w:rsidP="00F53B2D">
            <w:pPr>
              <w:shd w:val="clear" w:color="auto" w:fill="FFFFFF" w:themeFill="background1"/>
              <w:tabs>
                <w:tab w:val="left" w:pos="4820"/>
              </w:tabs>
              <w:spacing w:before="20" w:after="20" w:line="20" w:lineRule="atLeast"/>
              <w:rPr>
                <w:ins w:id="25" w:author="Forfatter"/>
                <w:rFonts w:ascii="Verdana" w:hAnsi="Verdana" w:cs="Helvetica"/>
                <w:sz w:val="14"/>
              </w:rPr>
            </w:pPr>
            <w:proofErr w:type="spellStart"/>
            <w:ins w:id="26" w:author="Forfatter">
              <w:r>
                <w:rPr>
                  <w:rFonts w:ascii="Verdana" w:hAnsi="Verdana" w:cs="Helvetica"/>
                  <w:sz w:val="14"/>
                </w:rPr>
                <w:t>parity_bit_error</w:t>
              </w:r>
              <w:r w:rsidR="001C6DE3">
                <w:rPr>
                  <w:rFonts w:ascii="Verdana" w:hAnsi="Verdana" w:cs="Helvetica"/>
                  <w:sz w:val="14"/>
                </w:rPr>
                <w:t>_prob</w:t>
              </w:r>
              <w:proofErr w:type="spellEnd"/>
            </w:ins>
          </w:p>
        </w:tc>
        <w:tc>
          <w:tcPr>
            <w:tcW w:w="470" w:type="pct"/>
            <w:shd w:val="clear" w:color="auto" w:fill="FFFFFF" w:themeFill="background1"/>
          </w:tcPr>
          <w:p w14:paraId="394F795B" w14:textId="3ABED114" w:rsidR="009517AC" w:rsidRPr="00C4111E" w:rsidRDefault="001C6DE3" w:rsidP="00F53B2D">
            <w:pPr>
              <w:shd w:val="clear" w:color="auto" w:fill="FFFFFF" w:themeFill="background1"/>
              <w:tabs>
                <w:tab w:val="left" w:pos="4820"/>
              </w:tabs>
              <w:spacing w:before="20" w:after="20" w:line="20" w:lineRule="atLeast"/>
              <w:rPr>
                <w:ins w:id="27" w:author="Forfatter"/>
                <w:rFonts w:ascii="Verdana" w:hAnsi="Verdana"/>
                <w:sz w:val="14"/>
              </w:rPr>
            </w:pPr>
            <w:ins w:id="28" w:author="Forfatter">
              <w:r>
                <w:rPr>
                  <w:rFonts w:ascii="Verdana" w:hAnsi="Verdana"/>
                  <w:sz w:val="14"/>
                </w:rPr>
                <w:t>real</w:t>
              </w:r>
            </w:ins>
          </w:p>
        </w:tc>
        <w:tc>
          <w:tcPr>
            <w:tcW w:w="507" w:type="pct"/>
            <w:shd w:val="clear" w:color="auto" w:fill="FFFFFF" w:themeFill="background1"/>
          </w:tcPr>
          <w:p w14:paraId="38EF751F" w14:textId="01E8510D" w:rsidR="009517AC" w:rsidRDefault="001C6DE3" w:rsidP="00F53B2D">
            <w:pPr>
              <w:shd w:val="clear" w:color="auto" w:fill="FFFFFF" w:themeFill="background1"/>
              <w:tabs>
                <w:tab w:val="left" w:pos="4820"/>
              </w:tabs>
              <w:spacing w:before="20" w:after="20" w:line="20" w:lineRule="atLeast"/>
              <w:rPr>
                <w:ins w:id="29" w:author="Forfatter"/>
                <w:rFonts w:ascii="Verdana" w:hAnsi="Verdana"/>
                <w:sz w:val="14"/>
              </w:rPr>
            </w:pPr>
            <w:ins w:id="30" w:author="Forfatter">
              <w:r>
                <w:rPr>
                  <w:rFonts w:ascii="Verdana" w:hAnsi="Verdana"/>
                  <w:sz w:val="14"/>
                </w:rPr>
                <w:t>0.0</w:t>
              </w:r>
            </w:ins>
          </w:p>
        </w:tc>
        <w:tc>
          <w:tcPr>
            <w:tcW w:w="3442" w:type="pct"/>
            <w:shd w:val="clear" w:color="auto" w:fill="FFFFFF" w:themeFill="background1"/>
          </w:tcPr>
          <w:p w14:paraId="556CF0AA" w14:textId="0D80A7FC" w:rsidR="009517AC" w:rsidRPr="00CF0C36" w:rsidRDefault="0014436E" w:rsidP="00F53B2D">
            <w:pPr>
              <w:shd w:val="clear" w:color="auto" w:fill="FFFFFF" w:themeFill="background1"/>
              <w:tabs>
                <w:tab w:val="left" w:pos="4820"/>
              </w:tabs>
              <w:spacing w:before="20" w:after="20" w:line="20" w:lineRule="atLeast"/>
              <w:rPr>
                <w:ins w:id="31" w:author="Forfatter"/>
                <w:rFonts w:ascii="Verdana" w:hAnsi="Verdana"/>
                <w:sz w:val="14"/>
              </w:rPr>
            </w:pPr>
            <w:ins w:id="32" w:author="Forfatte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w:t>
              </w:r>
              <w:commentRangeStart w:id="33"/>
              <w:r>
                <w:rPr>
                  <w:rFonts w:ascii="Verdana" w:hAnsi="Verdana"/>
                  <w:sz w:val="14"/>
                </w:rPr>
                <w:t>doc</w:t>
              </w:r>
              <w:commentRangeEnd w:id="33"/>
              <w:r>
                <w:rPr>
                  <w:rStyle w:val="Merknadsreferanse"/>
                </w:rPr>
                <w:commentReference w:id="33"/>
              </w:r>
              <w:r>
                <w:rPr>
                  <w:rFonts w:ascii="Verdana" w:hAnsi="Verdana"/>
                  <w:sz w:val="14"/>
                </w:rPr>
                <w:t>)</w:t>
              </w:r>
            </w:ins>
          </w:p>
        </w:tc>
      </w:tr>
      <w:tr w:rsidR="0014436E" w:rsidRPr="00C862E0" w14:paraId="4E5C8AF7" w14:textId="77777777" w:rsidTr="00F53B2D">
        <w:trPr>
          <w:ins w:id="34" w:author="Forfatter"/>
        </w:trPr>
        <w:tc>
          <w:tcPr>
            <w:tcW w:w="581" w:type="pct"/>
            <w:shd w:val="clear" w:color="auto" w:fill="FFFFFF" w:themeFill="background1"/>
          </w:tcPr>
          <w:p w14:paraId="3A399DD0" w14:textId="192FD559" w:rsidR="0014436E" w:rsidRPr="00C4111E" w:rsidRDefault="0014436E" w:rsidP="0014436E">
            <w:pPr>
              <w:shd w:val="clear" w:color="auto" w:fill="FFFFFF" w:themeFill="background1"/>
              <w:tabs>
                <w:tab w:val="left" w:pos="4820"/>
              </w:tabs>
              <w:spacing w:before="20" w:after="20" w:line="20" w:lineRule="atLeast"/>
              <w:rPr>
                <w:ins w:id="35" w:author="Forfatter"/>
                <w:rFonts w:ascii="Verdana" w:hAnsi="Verdana" w:cs="Helvetica"/>
                <w:sz w:val="14"/>
              </w:rPr>
            </w:pPr>
            <w:proofErr w:type="spellStart"/>
            <w:ins w:id="36" w:author="Forfatter">
              <w:r>
                <w:rPr>
                  <w:rFonts w:ascii="Verdana" w:hAnsi="Verdana" w:cs="Helvetica"/>
                  <w:sz w:val="14"/>
                </w:rPr>
                <w:t>stop_bit_error</w:t>
              </w:r>
              <w:r>
                <w:rPr>
                  <w:rFonts w:ascii="Verdana" w:hAnsi="Verdana" w:cs="Helvetica"/>
                  <w:sz w:val="14"/>
                </w:rPr>
                <w:t>_prob</w:t>
              </w:r>
              <w:proofErr w:type="spellEnd"/>
            </w:ins>
          </w:p>
        </w:tc>
        <w:tc>
          <w:tcPr>
            <w:tcW w:w="470" w:type="pct"/>
            <w:shd w:val="clear" w:color="auto" w:fill="FFFFFF" w:themeFill="background1"/>
          </w:tcPr>
          <w:p w14:paraId="4F680256" w14:textId="38EC0B8F" w:rsidR="0014436E" w:rsidRPr="00F53B2D" w:rsidRDefault="0014436E" w:rsidP="0014436E">
            <w:pPr>
              <w:shd w:val="clear" w:color="auto" w:fill="FFFFFF" w:themeFill="background1"/>
              <w:tabs>
                <w:tab w:val="left" w:pos="4820"/>
              </w:tabs>
              <w:spacing w:before="20" w:after="20" w:line="20" w:lineRule="atLeast"/>
              <w:rPr>
                <w:ins w:id="37" w:author="Forfatter"/>
                <w:rFonts w:ascii="Verdana" w:hAnsi="Verdana" w:cs="Courier New"/>
                <w:color w:val="000000" w:themeColor="text1"/>
                <w:sz w:val="14"/>
              </w:rPr>
            </w:pPr>
            <w:ins w:id="38" w:author="Forfatter">
              <w:r>
                <w:rPr>
                  <w:rFonts w:ascii="Verdana" w:hAnsi="Verdana" w:cs="Courier New"/>
                  <w:sz w:val="14"/>
                </w:rPr>
                <w:t>real</w:t>
              </w:r>
            </w:ins>
          </w:p>
        </w:tc>
        <w:tc>
          <w:tcPr>
            <w:tcW w:w="507" w:type="pct"/>
            <w:shd w:val="clear" w:color="auto" w:fill="FFFFFF" w:themeFill="background1"/>
          </w:tcPr>
          <w:p w14:paraId="642E8BE9" w14:textId="51D9E167" w:rsidR="0014436E" w:rsidRDefault="0014436E" w:rsidP="0014436E">
            <w:pPr>
              <w:shd w:val="clear" w:color="auto" w:fill="FFFFFF" w:themeFill="background1"/>
              <w:tabs>
                <w:tab w:val="left" w:pos="4820"/>
              </w:tabs>
              <w:spacing w:before="20" w:after="20" w:line="20" w:lineRule="atLeast"/>
              <w:rPr>
                <w:ins w:id="39" w:author="Forfatter"/>
                <w:rFonts w:ascii="Verdana" w:hAnsi="Verdana" w:cs="Courier New"/>
                <w:sz w:val="14"/>
              </w:rPr>
            </w:pPr>
            <w:ins w:id="40" w:author="Forfatter">
              <w:r>
                <w:rPr>
                  <w:rFonts w:ascii="Verdana" w:hAnsi="Verdana" w:cs="Courier New"/>
                  <w:sz w:val="14"/>
                </w:rPr>
                <w:t>0.0</w:t>
              </w:r>
            </w:ins>
          </w:p>
        </w:tc>
        <w:tc>
          <w:tcPr>
            <w:tcW w:w="3442" w:type="pct"/>
            <w:shd w:val="clear" w:color="auto" w:fill="FFFFFF" w:themeFill="background1"/>
          </w:tcPr>
          <w:p w14:paraId="68BA4E59" w14:textId="03E85A52" w:rsidR="0014436E" w:rsidRPr="006A72DF" w:rsidRDefault="0014436E" w:rsidP="0014436E">
            <w:pPr>
              <w:shd w:val="clear" w:color="auto" w:fill="FFFFFF" w:themeFill="background1"/>
              <w:tabs>
                <w:tab w:val="left" w:pos="4820"/>
              </w:tabs>
              <w:spacing w:before="20" w:after="20" w:line="20" w:lineRule="atLeast"/>
              <w:rPr>
                <w:ins w:id="41" w:author="Forfatter"/>
                <w:rFonts w:ascii="Verdana" w:hAnsi="Verdana" w:cs="Courier New"/>
                <w:sz w:val="14"/>
              </w:rPr>
            </w:pPr>
            <w:ins w:id="42" w:author="Forfatter">
              <w:r>
                <w:rPr>
                  <w:rFonts w:ascii="Verdana" w:hAnsi="Verdana"/>
                  <w:sz w:val="14"/>
                </w:rPr>
                <w:t xml:space="preserve">The probability that the VVC will request a </w:t>
              </w:r>
              <w:proofErr w:type="spellStart"/>
              <w:r>
                <w:rPr>
                  <w:rFonts w:ascii="Verdana" w:hAnsi="Verdana"/>
                  <w:sz w:val="14"/>
                </w:rPr>
                <w:t>stop</w:t>
              </w:r>
              <w:r>
                <w:rPr>
                  <w:rFonts w:ascii="Verdana" w:hAnsi="Verdana"/>
                  <w:sz w:val="14"/>
                </w:rPr>
                <w:t>_bit_error</w:t>
              </w:r>
              <w:proofErr w:type="spellEnd"/>
              <w:r>
                <w:rPr>
                  <w:rFonts w:ascii="Verdana" w:hAnsi="Verdana"/>
                  <w:sz w:val="14"/>
                </w:rPr>
                <w:t xml:space="preserve"> when calling a BFM transmission procedure.</w:t>
              </w:r>
              <w:r>
                <w:rPr>
                  <w:rFonts w:ascii="Verdana" w:hAnsi="Verdana"/>
                  <w:sz w:val="14"/>
                </w:rPr>
                <w:t xml:space="preserve"> </w:t>
              </w:r>
              <w:r>
                <w:rPr>
                  <w:rFonts w:ascii="Verdana" w:hAnsi="Verdana"/>
                  <w:sz w:val="14"/>
                </w:rPr>
                <w:t>(See BFM doc)</w:t>
              </w:r>
            </w:ins>
          </w:p>
        </w:tc>
      </w:tr>
      <w:tr w:rsidR="0014436E" w:rsidRPr="00C862E0" w14:paraId="6F91E244" w14:textId="77777777" w:rsidTr="0014436E">
        <w:trPr>
          <w:ins w:id="43" w:author="Forfatter"/>
        </w:trPr>
        <w:tc>
          <w:tcPr>
            <w:tcW w:w="5000" w:type="pct"/>
            <w:gridSpan w:val="4"/>
            <w:shd w:val="clear" w:color="auto" w:fill="FFFFFF" w:themeFill="background1"/>
          </w:tcPr>
          <w:p w14:paraId="136F33CF" w14:textId="77777777" w:rsidR="0014436E" w:rsidRDefault="0014436E" w:rsidP="0014436E">
            <w:pPr>
              <w:shd w:val="clear" w:color="auto" w:fill="FFFFFF" w:themeFill="background1"/>
              <w:tabs>
                <w:tab w:val="left" w:pos="4820"/>
              </w:tabs>
              <w:spacing w:before="20" w:after="20" w:line="20" w:lineRule="atLeast"/>
              <w:rPr>
                <w:ins w:id="44" w:author="Forfatter"/>
                <w:rFonts w:ascii="Verdana" w:hAnsi="Verdana" w:cs="Helvetica"/>
                <w:sz w:val="14"/>
              </w:rPr>
            </w:pPr>
            <w:ins w:id="45" w:author="Forfatter">
              <w:r>
                <w:rPr>
                  <w:rFonts w:ascii="Verdana" w:hAnsi="Verdana" w:cs="Helvetica"/>
                  <w:sz w:val="14"/>
                </w:rPr>
                <w:t>Note 1: A value of 1.0 means every transmission should have this error injection, whereas 0.0 means error injection is turned off. Anything in between means randomisation with the given probability</w:t>
              </w:r>
            </w:ins>
          </w:p>
          <w:p w14:paraId="270B1784" w14:textId="613B2CE4" w:rsidR="0014436E" w:rsidRDefault="0014436E" w:rsidP="0014436E">
            <w:pPr>
              <w:shd w:val="clear" w:color="auto" w:fill="FFFFFF" w:themeFill="background1"/>
              <w:tabs>
                <w:tab w:val="left" w:pos="4820"/>
              </w:tabs>
              <w:spacing w:before="20" w:after="20" w:line="20" w:lineRule="atLeast"/>
              <w:rPr>
                <w:ins w:id="46" w:author="Forfatter"/>
                <w:rFonts w:ascii="Verdana" w:hAnsi="Verdana"/>
                <w:sz w:val="14"/>
              </w:rPr>
            </w:pPr>
            <w:ins w:id="47" w:author="Forfatter">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w:t>
              </w:r>
              <w:commentRangeStart w:id="48"/>
              <w:r>
                <w:rPr>
                  <w:rFonts w:ascii="Verdana" w:hAnsi="Verdana"/>
                  <w:sz w:val="14"/>
                </w:rPr>
                <w:t xml:space="preserve"> will override any error injection specified in the BFM config</w:t>
              </w:r>
              <w:commentRangeEnd w:id="48"/>
              <w:r>
                <w:rPr>
                  <w:rStyle w:val="Merknadsreferanse"/>
                </w:rPr>
                <w:commentReference w:id="48"/>
              </w:r>
              <w:r>
                <w:rPr>
                  <w:rFonts w:ascii="Verdana" w:hAnsi="Verdana"/>
                  <w:sz w:val="14"/>
                </w:rPr>
                <w:t>.</w:t>
              </w:r>
            </w:ins>
          </w:p>
        </w:tc>
      </w:tr>
    </w:tbl>
    <w:p w14:paraId="4F4C0F61" w14:textId="77777777" w:rsidR="009517AC" w:rsidRDefault="009517AC" w:rsidP="009517AC">
      <w:pPr>
        <w:shd w:val="clear" w:color="auto" w:fill="FFFFFF" w:themeFill="background1"/>
        <w:rPr>
          <w:ins w:id="50" w:author="Forfatter"/>
        </w:rPr>
      </w:pPr>
    </w:p>
    <w:p w14:paraId="33F6DA6D" w14:textId="77777777" w:rsidR="009517AC" w:rsidRDefault="009517AC" w:rsidP="009517AC">
      <w:pPr>
        <w:rPr>
          <w:ins w:id="51" w:author="Forfatter"/>
        </w:rPr>
      </w:pPr>
    </w:p>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lastRenderedPageBreak/>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lastRenderedPageBreak/>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orfatter" w:initials="A">
    <w:p w14:paraId="055CAA34" w14:textId="3C85DDFD" w:rsidR="00903EAF" w:rsidRDefault="00903EAF">
      <w:pPr>
        <w:pStyle w:val="Merknadstekst"/>
      </w:pPr>
      <w:r>
        <w:rPr>
          <w:rStyle w:val="Merknadsreferanse"/>
        </w:rPr>
        <w:annotationRef/>
      </w:r>
      <w:proofErr w:type="spellStart"/>
      <w:r>
        <w:t>Brukte</w:t>
      </w:r>
      <w:proofErr w:type="spellEnd"/>
      <w:r>
        <w:t xml:space="preserve"> et </w:t>
      </w:r>
      <w:proofErr w:type="spellStart"/>
      <w:r>
        <w:t>annet</w:t>
      </w:r>
      <w:proofErr w:type="spellEnd"/>
      <w:r>
        <w:t xml:space="preserve"> </w:t>
      </w:r>
      <w:proofErr w:type="spellStart"/>
      <w:r>
        <w:t>navn</w:t>
      </w:r>
      <w:proofErr w:type="spellEnd"/>
      <w:r>
        <w:t xml:space="preserve"> her </w:t>
      </w:r>
      <w:proofErr w:type="spellStart"/>
      <w:r>
        <w:t>enn</w:t>
      </w:r>
      <w:proofErr w:type="spellEnd"/>
      <w:r>
        <w:t xml:space="preserve"> I BFM </w:t>
      </w:r>
      <w:proofErr w:type="spellStart"/>
      <w:r>
        <w:t>siden</w:t>
      </w:r>
      <w:proofErr w:type="spellEnd"/>
      <w:r>
        <w:t xml:space="preserve"> </w:t>
      </w:r>
      <w:proofErr w:type="spellStart"/>
      <w:r>
        <w:t>denne</w:t>
      </w:r>
      <w:proofErr w:type="spellEnd"/>
      <w:r>
        <w:t xml:space="preserve"> </w:t>
      </w:r>
      <w:proofErr w:type="spellStart"/>
      <w:r>
        <w:t>er</w:t>
      </w:r>
      <w:proofErr w:type="spellEnd"/>
      <w:r>
        <w:t xml:space="preserve"> </w:t>
      </w:r>
      <w:proofErr w:type="spellStart"/>
      <w:r>
        <w:t>litt</w:t>
      </w:r>
      <w:proofErr w:type="spellEnd"/>
      <w:r>
        <w:t xml:space="preserve"> </w:t>
      </w:r>
      <w:proofErr w:type="spellStart"/>
      <w:r>
        <w:t>overordnet</w:t>
      </w:r>
      <w:proofErr w:type="spellEnd"/>
    </w:p>
  </w:comment>
  <w:comment w:id="33" w:author="Forfatter" w:initials="A">
    <w:p w14:paraId="4D801471" w14:textId="46137308" w:rsidR="0014436E" w:rsidRDefault="0014436E">
      <w:pPr>
        <w:pStyle w:val="Merknadstekst"/>
      </w:pPr>
      <w:r>
        <w:rPr>
          <w:rStyle w:val="Merknadsreferanse"/>
        </w:rPr>
        <w:annotationRef/>
      </w:r>
      <w:r>
        <w:t xml:space="preserve">Feel free til å </w:t>
      </w:r>
      <w:proofErr w:type="spellStart"/>
      <w:r>
        <w:t>fikse</w:t>
      </w:r>
      <w:proofErr w:type="spellEnd"/>
      <w:r>
        <w:t xml:space="preserve"> </w:t>
      </w:r>
      <w:proofErr w:type="spellStart"/>
      <w:r>
        <w:t>formatering</w:t>
      </w:r>
      <w:proofErr w:type="spellEnd"/>
      <w:r>
        <w:t>/layout</w:t>
      </w:r>
    </w:p>
  </w:comment>
  <w:comment w:id="48" w:author="Forfatter" w:initials="A">
    <w:p w14:paraId="36361580" w14:textId="226821B6" w:rsidR="0014436E" w:rsidRDefault="0014436E">
      <w:pPr>
        <w:pStyle w:val="Merknadstekst"/>
      </w:pPr>
      <w:r>
        <w:rPr>
          <w:rStyle w:val="Merknadsreferanse"/>
        </w:rPr>
        <w:annotationRef/>
      </w:r>
      <w:proofErr w:type="spellStart"/>
      <w:r w:rsidR="005374D7">
        <w:t>Må</w:t>
      </w:r>
      <w:proofErr w:type="spellEnd"/>
      <w:r w:rsidR="005374D7">
        <w:t xml:space="preserve"> </w:t>
      </w:r>
      <w:proofErr w:type="spellStart"/>
      <w:r w:rsidR="005374D7">
        <w:t>vel</w:t>
      </w:r>
      <w:proofErr w:type="spellEnd"/>
      <w:r w:rsidR="005374D7">
        <w:t xml:space="preserve"> overrides på </w:t>
      </w:r>
      <w:proofErr w:type="spellStart"/>
      <w:r w:rsidR="005374D7">
        <w:t>denne</w:t>
      </w:r>
      <w:proofErr w:type="spellEnd"/>
      <w:r w:rsidR="005374D7">
        <w:t xml:space="preserve"> </w:t>
      </w:r>
      <w:proofErr w:type="spellStart"/>
      <w:r w:rsidR="005374D7">
        <w:t>måten</w:t>
      </w:r>
      <w:proofErr w:type="spellEnd"/>
      <w:r w:rsidR="005374D7">
        <w:t>?</w:t>
      </w:r>
      <w:bookmarkStart w:id="49" w:name="_GoBack"/>
      <w:bookmarkEnd w:id="4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5CAA34" w15:done="0"/>
  <w15:commentEx w15:paraId="4D801471" w15:done="0"/>
  <w15:commentEx w15:paraId="36361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CAA34" w16cid:durableId="21191D3A"/>
  <w16cid:commentId w16cid:paraId="4D801471" w16cid:durableId="211922DD"/>
  <w16cid:commentId w16cid:paraId="36361580" w16cid:durableId="21192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8564E" w14:textId="77777777" w:rsidR="000A6656" w:rsidRPr="009F58C4" w:rsidRDefault="000A6656">
      <w:pPr>
        <w:rPr>
          <w:rFonts w:ascii="Arial" w:hAnsi="Arial" w:cs="Arial"/>
          <w:lang w:val="sq-AL"/>
        </w:rPr>
      </w:pPr>
      <w:r w:rsidRPr="009F58C4">
        <w:rPr>
          <w:rFonts w:ascii="Arial" w:hAnsi="Arial" w:cs="Arial"/>
          <w:lang w:val="sq-AL"/>
        </w:rPr>
        <w:separator/>
      </w:r>
    </w:p>
  </w:endnote>
  <w:endnote w:type="continuationSeparator" w:id="0">
    <w:p w14:paraId="3EE02E8A" w14:textId="77777777" w:rsidR="000A6656" w:rsidRPr="009F58C4" w:rsidRDefault="000A665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8585D"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37B4C8F"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8F6A85">
            <w:rPr>
              <w:rFonts w:ascii="Helvetica" w:hAnsi="Helvetica" w:cs="Arial"/>
              <w:noProof/>
              <w:color w:val="1381C4"/>
              <w:sz w:val="14"/>
              <w:lang w:val="en-US"/>
            </w:rPr>
            <w:t>2019-09-03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0A6656"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95CEB" w14:textId="77777777" w:rsidR="000A6656" w:rsidRPr="009F58C4" w:rsidRDefault="000A6656">
      <w:pPr>
        <w:rPr>
          <w:rFonts w:ascii="Arial" w:hAnsi="Arial" w:cs="Arial"/>
          <w:lang w:val="sq-AL"/>
        </w:rPr>
      </w:pPr>
      <w:r w:rsidRPr="009F58C4">
        <w:rPr>
          <w:rFonts w:ascii="Arial" w:hAnsi="Arial" w:cs="Arial"/>
          <w:lang w:val="sq-AL"/>
        </w:rPr>
        <w:separator/>
      </w:r>
    </w:p>
  </w:footnote>
  <w:footnote w:type="continuationSeparator" w:id="0">
    <w:p w14:paraId="30559599" w14:textId="77777777" w:rsidR="000A6656" w:rsidRPr="009F58C4" w:rsidRDefault="000A665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58BF6-0C44-417A-ABB8-675BC411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1959</Words>
  <Characters>11169</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13102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2019-09-03T15:43:00Z</dcterms:modified>
</cp:coreProperties>
</file>