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07E4E52" w14:textId="6BEFE613" w:rsidR="00C65D4B" w:rsidRDefault="00C2273B">
          <w:pPr>
            <w:pStyle w:val="INNH1"/>
            <w:tabs>
              <w:tab w:val="left" w:pos="332"/>
              <w:tab w:val="right" w:pos="15129"/>
            </w:tabs>
            <w:rPr>
              <w:rFonts w:eastAsiaTheme="minorEastAsia" w:cstheme="minorBidi"/>
              <w:b w:val="0"/>
              <w:bCs w:val="0"/>
              <w:caps w:val="0"/>
              <w:noProof/>
              <w:u w:val="none"/>
              <w:lang w:val="nb-NO" w:eastAsia="nb-NO"/>
            </w:rPr>
          </w:pPr>
          <w:r>
            <w:fldChar w:fldCharType="begin"/>
          </w:r>
          <w:r>
            <w:instrText xml:space="preserve"> TOC \o "1-3" \h \z \u </w:instrText>
          </w:r>
          <w:r>
            <w:fldChar w:fldCharType="separate"/>
          </w:r>
          <w:hyperlink w:anchor="_Toc17306310" w:history="1">
            <w:r w:rsidR="00C65D4B" w:rsidRPr="006B7760">
              <w:rPr>
                <w:rStyle w:val="Hyperkobling"/>
                <w:noProof/>
              </w:rPr>
              <w:t>1</w:t>
            </w:r>
            <w:r w:rsidR="00C65D4B">
              <w:rPr>
                <w:rFonts w:eastAsiaTheme="minorEastAsia" w:cstheme="minorBidi"/>
                <w:b w:val="0"/>
                <w:bCs w:val="0"/>
                <w:caps w:val="0"/>
                <w:noProof/>
                <w:u w:val="none"/>
                <w:lang w:val="nb-NO" w:eastAsia="nb-NO"/>
              </w:rPr>
              <w:tab/>
            </w:r>
            <w:r w:rsidR="00C65D4B" w:rsidRPr="006B7760">
              <w:rPr>
                <w:rStyle w:val="Hyperkobling"/>
                <w:noProof/>
              </w:rPr>
              <w:t>Libraries</w:t>
            </w:r>
            <w:r w:rsidR="00C65D4B">
              <w:rPr>
                <w:noProof/>
                <w:webHidden/>
              </w:rPr>
              <w:tab/>
            </w:r>
            <w:r w:rsidR="00C65D4B">
              <w:rPr>
                <w:noProof/>
                <w:webHidden/>
              </w:rPr>
              <w:fldChar w:fldCharType="begin"/>
            </w:r>
            <w:r w:rsidR="00C65D4B">
              <w:rPr>
                <w:noProof/>
                <w:webHidden/>
              </w:rPr>
              <w:instrText xml:space="preserve"> PAGEREF _Toc17306310 \h </w:instrText>
            </w:r>
            <w:r w:rsidR="00C65D4B">
              <w:rPr>
                <w:noProof/>
                <w:webHidden/>
              </w:rPr>
            </w:r>
            <w:r w:rsidR="00C65D4B">
              <w:rPr>
                <w:noProof/>
                <w:webHidden/>
              </w:rPr>
              <w:fldChar w:fldCharType="separate"/>
            </w:r>
            <w:r w:rsidR="00C65D4B">
              <w:rPr>
                <w:noProof/>
                <w:webHidden/>
              </w:rPr>
              <w:t>2</w:t>
            </w:r>
            <w:r w:rsidR="00C65D4B">
              <w:rPr>
                <w:noProof/>
                <w:webHidden/>
              </w:rPr>
              <w:fldChar w:fldCharType="end"/>
            </w:r>
          </w:hyperlink>
        </w:p>
        <w:p w14:paraId="088F5B83" w14:textId="60A5639A" w:rsidR="00C65D4B" w:rsidRDefault="00C65D4B">
          <w:pPr>
            <w:pStyle w:val="INNH1"/>
            <w:tabs>
              <w:tab w:val="left" w:pos="332"/>
              <w:tab w:val="right" w:pos="15129"/>
            </w:tabs>
            <w:rPr>
              <w:rFonts w:eastAsiaTheme="minorEastAsia" w:cstheme="minorBidi"/>
              <w:b w:val="0"/>
              <w:bCs w:val="0"/>
              <w:caps w:val="0"/>
              <w:noProof/>
              <w:u w:val="none"/>
              <w:lang w:val="nb-NO" w:eastAsia="nb-NO"/>
            </w:rPr>
          </w:pPr>
          <w:hyperlink w:anchor="_Toc17306311" w:history="1">
            <w:r w:rsidRPr="006B7760">
              <w:rPr>
                <w:rStyle w:val="Hyperkobling"/>
                <w:noProof/>
              </w:rPr>
              <w:t>2</w:t>
            </w:r>
            <w:r>
              <w:rPr>
                <w:rFonts w:eastAsiaTheme="minorEastAsia" w:cstheme="minorBidi"/>
                <w:b w:val="0"/>
                <w:bCs w:val="0"/>
                <w:caps w:val="0"/>
                <w:noProof/>
                <w:u w:val="none"/>
                <w:lang w:val="nb-NO" w:eastAsia="nb-NO"/>
              </w:rPr>
              <w:tab/>
            </w:r>
            <w:r w:rsidRPr="006B7760">
              <w:rPr>
                <w:rStyle w:val="Hyperkobling"/>
                <w:noProof/>
              </w:rPr>
              <w:t>UVVM Initialization</w:t>
            </w:r>
            <w:r>
              <w:rPr>
                <w:noProof/>
                <w:webHidden/>
              </w:rPr>
              <w:tab/>
            </w:r>
            <w:r>
              <w:rPr>
                <w:noProof/>
                <w:webHidden/>
              </w:rPr>
              <w:fldChar w:fldCharType="begin"/>
            </w:r>
            <w:r>
              <w:rPr>
                <w:noProof/>
                <w:webHidden/>
              </w:rPr>
              <w:instrText xml:space="preserve"> PAGEREF _Toc17306311 \h </w:instrText>
            </w:r>
            <w:r>
              <w:rPr>
                <w:noProof/>
                <w:webHidden/>
              </w:rPr>
            </w:r>
            <w:r>
              <w:rPr>
                <w:noProof/>
                <w:webHidden/>
              </w:rPr>
              <w:fldChar w:fldCharType="separate"/>
            </w:r>
            <w:r>
              <w:rPr>
                <w:noProof/>
                <w:webHidden/>
              </w:rPr>
              <w:t>2</w:t>
            </w:r>
            <w:r>
              <w:rPr>
                <w:noProof/>
                <w:webHidden/>
              </w:rPr>
              <w:fldChar w:fldCharType="end"/>
            </w:r>
          </w:hyperlink>
        </w:p>
        <w:p w14:paraId="7EB65B26" w14:textId="7B6A0AB9" w:rsidR="00C65D4B" w:rsidRDefault="00C65D4B">
          <w:pPr>
            <w:pStyle w:val="INNH1"/>
            <w:tabs>
              <w:tab w:val="left" w:pos="332"/>
              <w:tab w:val="right" w:pos="15129"/>
            </w:tabs>
            <w:rPr>
              <w:rFonts w:eastAsiaTheme="minorEastAsia" w:cstheme="minorBidi"/>
              <w:b w:val="0"/>
              <w:bCs w:val="0"/>
              <w:caps w:val="0"/>
              <w:noProof/>
              <w:u w:val="none"/>
              <w:lang w:val="nb-NO" w:eastAsia="nb-NO"/>
            </w:rPr>
          </w:pPr>
          <w:hyperlink w:anchor="_Toc17306312" w:history="1">
            <w:r w:rsidRPr="006B7760">
              <w:rPr>
                <w:rStyle w:val="Hyperkobling"/>
                <w:noProof/>
              </w:rPr>
              <w:t>3</w:t>
            </w:r>
            <w:r>
              <w:rPr>
                <w:rFonts w:eastAsiaTheme="minorEastAsia" w:cstheme="minorBidi"/>
                <w:b w:val="0"/>
                <w:bCs w:val="0"/>
                <w:caps w:val="0"/>
                <w:noProof/>
                <w:u w:val="none"/>
                <w:lang w:val="nb-NO" w:eastAsia="nb-NO"/>
              </w:rPr>
              <w:tab/>
            </w:r>
            <w:r w:rsidRPr="006B7760">
              <w:rPr>
                <w:rStyle w:val="Hyperkobling"/>
                <w:noProof/>
              </w:rPr>
              <w:t>UVVM and VVC Shared Variables</w:t>
            </w:r>
            <w:r>
              <w:rPr>
                <w:noProof/>
                <w:webHidden/>
              </w:rPr>
              <w:tab/>
            </w:r>
            <w:r>
              <w:rPr>
                <w:noProof/>
                <w:webHidden/>
              </w:rPr>
              <w:fldChar w:fldCharType="begin"/>
            </w:r>
            <w:r>
              <w:rPr>
                <w:noProof/>
                <w:webHidden/>
              </w:rPr>
              <w:instrText xml:space="preserve"> PAGEREF _Toc17306312 \h </w:instrText>
            </w:r>
            <w:r>
              <w:rPr>
                <w:noProof/>
                <w:webHidden/>
              </w:rPr>
            </w:r>
            <w:r>
              <w:rPr>
                <w:noProof/>
                <w:webHidden/>
              </w:rPr>
              <w:fldChar w:fldCharType="separate"/>
            </w:r>
            <w:r>
              <w:rPr>
                <w:noProof/>
                <w:webHidden/>
              </w:rPr>
              <w:t>3</w:t>
            </w:r>
            <w:r>
              <w:rPr>
                <w:noProof/>
                <w:webHidden/>
              </w:rPr>
              <w:fldChar w:fldCharType="end"/>
            </w:r>
          </w:hyperlink>
        </w:p>
        <w:p w14:paraId="34D3ACBD" w14:textId="7D2319A9" w:rsidR="00C65D4B" w:rsidRDefault="00C65D4B">
          <w:pPr>
            <w:pStyle w:val="INNH1"/>
            <w:tabs>
              <w:tab w:val="left" w:pos="332"/>
              <w:tab w:val="right" w:pos="15129"/>
            </w:tabs>
            <w:rPr>
              <w:rFonts w:eastAsiaTheme="minorEastAsia" w:cstheme="minorBidi"/>
              <w:b w:val="0"/>
              <w:bCs w:val="0"/>
              <w:caps w:val="0"/>
              <w:noProof/>
              <w:u w:val="none"/>
              <w:lang w:val="nb-NO" w:eastAsia="nb-NO"/>
            </w:rPr>
          </w:pPr>
          <w:hyperlink w:anchor="_Toc17306313" w:history="1">
            <w:r w:rsidRPr="006B7760">
              <w:rPr>
                <w:rStyle w:val="Hyperkobling"/>
                <w:noProof/>
              </w:rPr>
              <w:t>4</w:t>
            </w:r>
            <w:r>
              <w:rPr>
                <w:rFonts w:eastAsiaTheme="minorEastAsia" w:cstheme="minorBidi"/>
                <w:b w:val="0"/>
                <w:bCs w:val="0"/>
                <w:caps w:val="0"/>
                <w:noProof/>
                <w:u w:val="none"/>
                <w:lang w:val="nb-NO" w:eastAsia="nb-NO"/>
              </w:rPr>
              <w:tab/>
            </w:r>
            <w:r w:rsidRPr="006B7760">
              <w:rPr>
                <w:rStyle w:val="Hyperkobling"/>
                <w:noProof/>
              </w:rPr>
              <w:t>VVC Status, Configuration and Transaction information</w:t>
            </w:r>
            <w:r>
              <w:rPr>
                <w:noProof/>
                <w:webHidden/>
              </w:rPr>
              <w:tab/>
            </w:r>
            <w:r>
              <w:rPr>
                <w:noProof/>
                <w:webHidden/>
              </w:rPr>
              <w:fldChar w:fldCharType="begin"/>
            </w:r>
            <w:r>
              <w:rPr>
                <w:noProof/>
                <w:webHidden/>
              </w:rPr>
              <w:instrText xml:space="preserve"> PAGEREF _Toc17306313 \h </w:instrText>
            </w:r>
            <w:r>
              <w:rPr>
                <w:noProof/>
                <w:webHidden/>
              </w:rPr>
            </w:r>
            <w:r>
              <w:rPr>
                <w:noProof/>
                <w:webHidden/>
              </w:rPr>
              <w:fldChar w:fldCharType="separate"/>
            </w:r>
            <w:r>
              <w:rPr>
                <w:noProof/>
                <w:webHidden/>
              </w:rPr>
              <w:t>4</w:t>
            </w:r>
            <w:r>
              <w:rPr>
                <w:noProof/>
                <w:webHidden/>
              </w:rPr>
              <w:fldChar w:fldCharType="end"/>
            </w:r>
          </w:hyperlink>
        </w:p>
        <w:p w14:paraId="3796AE7F" w14:textId="416510C1" w:rsidR="00C65D4B" w:rsidRDefault="00C65D4B">
          <w:pPr>
            <w:pStyle w:val="INNH1"/>
            <w:tabs>
              <w:tab w:val="left" w:pos="332"/>
              <w:tab w:val="right" w:pos="15129"/>
            </w:tabs>
            <w:rPr>
              <w:rFonts w:eastAsiaTheme="minorEastAsia" w:cstheme="minorBidi"/>
              <w:b w:val="0"/>
              <w:bCs w:val="0"/>
              <w:caps w:val="0"/>
              <w:noProof/>
              <w:u w:val="none"/>
              <w:lang w:val="nb-NO" w:eastAsia="nb-NO"/>
            </w:rPr>
          </w:pPr>
          <w:hyperlink w:anchor="_Toc17306314" w:history="1">
            <w:r w:rsidRPr="006B7760">
              <w:rPr>
                <w:rStyle w:val="Hyperkobling"/>
                <w:noProof/>
              </w:rPr>
              <w:t>5</w:t>
            </w:r>
            <w:r>
              <w:rPr>
                <w:rFonts w:eastAsiaTheme="minorEastAsia" w:cstheme="minorBidi"/>
                <w:b w:val="0"/>
                <w:bCs w:val="0"/>
                <w:caps w:val="0"/>
                <w:noProof/>
                <w:u w:val="none"/>
                <w:lang w:val="nb-NO" w:eastAsia="nb-NO"/>
              </w:rPr>
              <w:tab/>
            </w:r>
            <w:r w:rsidRPr="006B7760">
              <w:rPr>
                <w:rStyle w:val="Hyperkobling"/>
                <w:noProof/>
              </w:rPr>
              <w:t>Direct Transaction Transfer</w:t>
            </w:r>
            <w:r>
              <w:rPr>
                <w:noProof/>
                <w:webHidden/>
              </w:rPr>
              <w:tab/>
            </w:r>
            <w:r>
              <w:rPr>
                <w:noProof/>
                <w:webHidden/>
              </w:rPr>
              <w:fldChar w:fldCharType="begin"/>
            </w:r>
            <w:r>
              <w:rPr>
                <w:noProof/>
                <w:webHidden/>
              </w:rPr>
              <w:instrText xml:space="preserve"> PAGEREF _Toc17306314 \h </w:instrText>
            </w:r>
            <w:r>
              <w:rPr>
                <w:noProof/>
                <w:webHidden/>
              </w:rPr>
            </w:r>
            <w:r>
              <w:rPr>
                <w:noProof/>
                <w:webHidden/>
              </w:rPr>
              <w:fldChar w:fldCharType="separate"/>
            </w:r>
            <w:r>
              <w:rPr>
                <w:noProof/>
                <w:webHidden/>
              </w:rPr>
              <w:t>5</w:t>
            </w:r>
            <w:r>
              <w:rPr>
                <w:noProof/>
                <w:webHidden/>
              </w:rPr>
              <w:fldChar w:fldCharType="end"/>
            </w:r>
          </w:hyperlink>
        </w:p>
        <w:p w14:paraId="2AB0FDD4" w14:textId="13B9E669" w:rsidR="00C65D4B" w:rsidRDefault="00C65D4B">
          <w:pPr>
            <w:pStyle w:val="INNH2"/>
            <w:tabs>
              <w:tab w:val="left" w:pos="502"/>
              <w:tab w:val="right" w:pos="15129"/>
            </w:tabs>
            <w:rPr>
              <w:rFonts w:eastAsiaTheme="minorEastAsia" w:cstheme="minorBidi"/>
              <w:b w:val="0"/>
              <w:bCs w:val="0"/>
              <w:smallCaps w:val="0"/>
              <w:noProof/>
              <w:lang w:val="nb-NO" w:eastAsia="nb-NO"/>
            </w:rPr>
          </w:pPr>
          <w:hyperlink w:anchor="_Toc17306315" w:history="1">
            <w:r w:rsidRPr="006B7760">
              <w:rPr>
                <w:rStyle w:val="Hyperkobling"/>
                <w:noProof/>
              </w:rPr>
              <w:t>5.1</w:t>
            </w:r>
            <w:r>
              <w:rPr>
                <w:rFonts w:eastAsiaTheme="minorEastAsia" w:cstheme="minorBidi"/>
                <w:b w:val="0"/>
                <w:bCs w:val="0"/>
                <w:smallCaps w:val="0"/>
                <w:noProof/>
                <w:lang w:val="nb-NO" w:eastAsia="nb-NO"/>
              </w:rPr>
              <w:tab/>
            </w:r>
            <w:r w:rsidRPr="006B7760">
              <w:rPr>
                <w:rStyle w:val="Hyperkobling"/>
                <w:noProof/>
              </w:rPr>
              <w:t>Transaction definitions</w:t>
            </w:r>
            <w:r>
              <w:rPr>
                <w:noProof/>
                <w:webHidden/>
              </w:rPr>
              <w:tab/>
            </w:r>
            <w:r>
              <w:rPr>
                <w:noProof/>
                <w:webHidden/>
              </w:rPr>
              <w:fldChar w:fldCharType="begin"/>
            </w:r>
            <w:r>
              <w:rPr>
                <w:noProof/>
                <w:webHidden/>
              </w:rPr>
              <w:instrText xml:space="preserve"> PAGEREF _Toc17306315 \h </w:instrText>
            </w:r>
            <w:r>
              <w:rPr>
                <w:noProof/>
                <w:webHidden/>
              </w:rPr>
            </w:r>
            <w:r>
              <w:rPr>
                <w:noProof/>
                <w:webHidden/>
              </w:rPr>
              <w:fldChar w:fldCharType="separate"/>
            </w:r>
            <w:r>
              <w:rPr>
                <w:noProof/>
                <w:webHidden/>
              </w:rPr>
              <w:t>5</w:t>
            </w:r>
            <w:r>
              <w:rPr>
                <w:noProof/>
                <w:webHidden/>
              </w:rPr>
              <w:fldChar w:fldCharType="end"/>
            </w:r>
          </w:hyperlink>
        </w:p>
        <w:p w14:paraId="630670A0" w14:textId="25FDC8EB" w:rsidR="00C65D4B" w:rsidRDefault="00C65D4B">
          <w:pPr>
            <w:pStyle w:val="INNH2"/>
            <w:tabs>
              <w:tab w:val="left" w:pos="502"/>
              <w:tab w:val="right" w:pos="15129"/>
            </w:tabs>
            <w:rPr>
              <w:rFonts w:eastAsiaTheme="minorEastAsia" w:cstheme="minorBidi"/>
              <w:b w:val="0"/>
              <w:bCs w:val="0"/>
              <w:smallCaps w:val="0"/>
              <w:noProof/>
              <w:lang w:val="nb-NO" w:eastAsia="nb-NO"/>
            </w:rPr>
          </w:pPr>
          <w:hyperlink w:anchor="_Toc17306316" w:history="1">
            <w:r w:rsidRPr="006B7760">
              <w:rPr>
                <w:rStyle w:val="Hyperkobling"/>
                <w:noProof/>
                <w:kern w:val="28"/>
              </w:rPr>
              <w:t>5.2</w:t>
            </w:r>
            <w:r>
              <w:rPr>
                <w:rFonts w:eastAsiaTheme="minorEastAsia" w:cstheme="minorBidi"/>
                <w:b w:val="0"/>
                <w:bCs w:val="0"/>
                <w:smallCaps w:val="0"/>
                <w:noProof/>
                <w:lang w:val="nb-NO" w:eastAsia="nb-NO"/>
              </w:rPr>
              <w:tab/>
            </w:r>
            <w:r w:rsidRPr="006B7760">
              <w:rPr>
                <w:rStyle w:val="Hyperkobling"/>
                <w:noProof/>
              </w:rPr>
              <w:t>Transaction details</w:t>
            </w:r>
            <w:r>
              <w:rPr>
                <w:noProof/>
                <w:webHidden/>
              </w:rPr>
              <w:tab/>
            </w:r>
            <w:r>
              <w:rPr>
                <w:noProof/>
                <w:webHidden/>
              </w:rPr>
              <w:fldChar w:fldCharType="begin"/>
            </w:r>
            <w:r>
              <w:rPr>
                <w:noProof/>
                <w:webHidden/>
              </w:rPr>
              <w:instrText xml:space="preserve"> PAGEREF _Toc17306316 \h </w:instrText>
            </w:r>
            <w:r>
              <w:rPr>
                <w:noProof/>
                <w:webHidden/>
              </w:rPr>
            </w:r>
            <w:r>
              <w:rPr>
                <w:noProof/>
                <w:webHidden/>
              </w:rPr>
              <w:fldChar w:fldCharType="separate"/>
            </w:r>
            <w:r>
              <w:rPr>
                <w:noProof/>
                <w:webHidden/>
              </w:rPr>
              <w:t>5</w:t>
            </w:r>
            <w:r>
              <w:rPr>
                <w:noProof/>
                <w:webHidden/>
              </w:rPr>
              <w:fldChar w:fldCharType="end"/>
            </w:r>
          </w:hyperlink>
        </w:p>
        <w:p w14:paraId="091B9653" w14:textId="612942D8" w:rsidR="00C65D4B" w:rsidRDefault="00C65D4B">
          <w:pPr>
            <w:pStyle w:val="INNH1"/>
            <w:tabs>
              <w:tab w:val="left" w:pos="332"/>
              <w:tab w:val="right" w:pos="15129"/>
            </w:tabs>
            <w:rPr>
              <w:rFonts w:eastAsiaTheme="minorEastAsia" w:cstheme="minorBidi"/>
              <w:b w:val="0"/>
              <w:bCs w:val="0"/>
              <w:caps w:val="0"/>
              <w:noProof/>
              <w:u w:val="none"/>
              <w:lang w:val="nb-NO" w:eastAsia="nb-NO"/>
            </w:rPr>
          </w:pPr>
          <w:hyperlink w:anchor="_Toc17306317" w:history="1">
            <w:r w:rsidRPr="006B7760">
              <w:rPr>
                <w:rStyle w:val="Hyperkobling"/>
                <w:noProof/>
              </w:rPr>
              <w:t>6</w:t>
            </w:r>
            <w:r>
              <w:rPr>
                <w:rFonts w:eastAsiaTheme="minorEastAsia" w:cstheme="minorBidi"/>
                <w:b w:val="0"/>
                <w:bCs w:val="0"/>
                <w:caps w:val="0"/>
                <w:noProof/>
                <w:u w:val="none"/>
                <w:lang w:val="nb-NO" w:eastAsia="nb-NO"/>
              </w:rPr>
              <w:tab/>
            </w:r>
            <w:r w:rsidRPr="006B7760">
              <w:rPr>
                <w:rStyle w:val="Hyperkobling"/>
                <w:noProof/>
              </w:rPr>
              <w:t>Multiple Central Sequencers</w:t>
            </w:r>
            <w:r>
              <w:rPr>
                <w:noProof/>
                <w:webHidden/>
              </w:rPr>
              <w:tab/>
            </w:r>
            <w:r>
              <w:rPr>
                <w:noProof/>
                <w:webHidden/>
              </w:rPr>
              <w:fldChar w:fldCharType="begin"/>
            </w:r>
            <w:r>
              <w:rPr>
                <w:noProof/>
                <w:webHidden/>
              </w:rPr>
              <w:instrText xml:space="preserve"> PAGEREF _Toc17306317 \h </w:instrText>
            </w:r>
            <w:r>
              <w:rPr>
                <w:noProof/>
                <w:webHidden/>
              </w:rPr>
            </w:r>
            <w:r>
              <w:rPr>
                <w:noProof/>
                <w:webHidden/>
              </w:rPr>
              <w:fldChar w:fldCharType="separate"/>
            </w:r>
            <w:r>
              <w:rPr>
                <w:noProof/>
                <w:webHidden/>
              </w:rPr>
              <w:t>6</w:t>
            </w:r>
            <w:r>
              <w:rPr>
                <w:noProof/>
                <w:webHidden/>
              </w:rPr>
              <w:fldChar w:fldCharType="end"/>
            </w:r>
          </w:hyperlink>
        </w:p>
        <w:p w14:paraId="0262ACB9" w14:textId="782F1BB7" w:rsidR="00C65D4B" w:rsidRDefault="00C65D4B">
          <w:pPr>
            <w:pStyle w:val="INNH1"/>
            <w:tabs>
              <w:tab w:val="left" w:pos="332"/>
              <w:tab w:val="right" w:pos="15129"/>
            </w:tabs>
            <w:rPr>
              <w:rFonts w:eastAsiaTheme="minorEastAsia" w:cstheme="minorBidi"/>
              <w:b w:val="0"/>
              <w:bCs w:val="0"/>
              <w:caps w:val="0"/>
              <w:noProof/>
              <w:u w:val="none"/>
              <w:lang w:val="nb-NO" w:eastAsia="nb-NO"/>
            </w:rPr>
          </w:pPr>
          <w:hyperlink w:anchor="_Toc17306318" w:history="1">
            <w:r w:rsidRPr="006B7760">
              <w:rPr>
                <w:rStyle w:val="Hyperkobling"/>
                <w:noProof/>
              </w:rPr>
              <w:t>7</w:t>
            </w:r>
            <w:r>
              <w:rPr>
                <w:rFonts w:eastAsiaTheme="minorEastAsia" w:cstheme="minorBidi"/>
                <w:b w:val="0"/>
                <w:bCs w:val="0"/>
                <w:caps w:val="0"/>
                <w:noProof/>
                <w:u w:val="none"/>
                <w:lang w:val="nb-NO" w:eastAsia="nb-NO"/>
              </w:rPr>
              <w:tab/>
            </w:r>
            <w:r w:rsidRPr="006B7760">
              <w:rPr>
                <w:rStyle w:val="Hyperkobling"/>
                <w:noProof/>
              </w:rPr>
              <w:t>Compile scripts</w:t>
            </w:r>
            <w:r>
              <w:rPr>
                <w:noProof/>
                <w:webHidden/>
              </w:rPr>
              <w:tab/>
            </w:r>
            <w:r>
              <w:rPr>
                <w:noProof/>
                <w:webHidden/>
              </w:rPr>
              <w:fldChar w:fldCharType="begin"/>
            </w:r>
            <w:r>
              <w:rPr>
                <w:noProof/>
                <w:webHidden/>
              </w:rPr>
              <w:instrText xml:space="preserve"> PAGEREF _Toc17306318 \h </w:instrText>
            </w:r>
            <w:r>
              <w:rPr>
                <w:noProof/>
                <w:webHidden/>
              </w:rPr>
            </w:r>
            <w:r>
              <w:rPr>
                <w:noProof/>
                <w:webHidden/>
              </w:rPr>
              <w:fldChar w:fldCharType="separate"/>
            </w:r>
            <w:r>
              <w:rPr>
                <w:noProof/>
                <w:webHidden/>
              </w:rPr>
              <w:t>6</w:t>
            </w:r>
            <w:r>
              <w:rPr>
                <w:noProof/>
                <w:webHidden/>
              </w:rPr>
              <w:fldChar w:fldCharType="end"/>
            </w:r>
          </w:hyperlink>
        </w:p>
        <w:p w14:paraId="1E88DC06" w14:textId="55A56D16" w:rsidR="00C65D4B" w:rsidRDefault="00C65D4B">
          <w:pPr>
            <w:pStyle w:val="INNH1"/>
            <w:tabs>
              <w:tab w:val="left" w:pos="332"/>
              <w:tab w:val="right" w:pos="15129"/>
            </w:tabs>
            <w:rPr>
              <w:rFonts w:eastAsiaTheme="minorEastAsia" w:cstheme="minorBidi"/>
              <w:b w:val="0"/>
              <w:bCs w:val="0"/>
              <w:caps w:val="0"/>
              <w:noProof/>
              <w:u w:val="none"/>
              <w:lang w:val="nb-NO" w:eastAsia="nb-NO"/>
            </w:rPr>
          </w:pPr>
          <w:hyperlink w:anchor="_Toc17306319" w:history="1">
            <w:r w:rsidRPr="006B7760">
              <w:rPr>
                <w:rStyle w:val="Hyperkobling"/>
                <w:noProof/>
                <w:lang w:val="en-US"/>
              </w:rPr>
              <w:t>8</w:t>
            </w:r>
            <w:r>
              <w:rPr>
                <w:rFonts w:eastAsiaTheme="minorEastAsia" w:cstheme="minorBidi"/>
                <w:b w:val="0"/>
                <w:bCs w:val="0"/>
                <w:caps w:val="0"/>
                <w:noProof/>
                <w:u w:val="none"/>
                <w:lang w:val="nb-NO" w:eastAsia="nb-NO"/>
              </w:rPr>
              <w:tab/>
            </w:r>
            <w:r w:rsidRPr="006B7760">
              <w:rPr>
                <w:rStyle w:val="Hyperkobling"/>
                <w:noProof/>
                <w:lang w:val="en-US"/>
              </w:rPr>
              <w:t>Scope of verbosity control</w:t>
            </w:r>
            <w:r>
              <w:rPr>
                <w:noProof/>
                <w:webHidden/>
              </w:rPr>
              <w:tab/>
            </w:r>
            <w:r>
              <w:rPr>
                <w:noProof/>
                <w:webHidden/>
              </w:rPr>
              <w:fldChar w:fldCharType="begin"/>
            </w:r>
            <w:r>
              <w:rPr>
                <w:noProof/>
                <w:webHidden/>
              </w:rPr>
              <w:instrText xml:space="preserve"> PAGEREF _Toc17306319 \h </w:instrText>
            </w:r>
            <w:r>
              <w:rPr>
                <w:noProof/>
                <w:webHidden/>
              </w:rPr>
            </w:r>
            <w:r>
              <w:rPr>
                <w:noProof/>
                <w:webHidden/>
              </w:rPr>
              <w:fldChar w:fldCharType="separate"/>
            </w:r>
            <w:r>
              <w:rPr>
                <w:noProof/>
                <w:webHidden/>
              </w:rPr>
              <w:t>6</w:t>
            </w:r>
            <w:r>
              <w:rPr>
                <w:noProof/>
                <w:webHidden/>
              </w:rPr>
              <w:fldChar w:fldCharType="end"/>
            </w:r>
          </w:hyperlink>
        </w:p>
        <w:p w14:paraId="2D42BAD5" w14:textId="093CE733" w:rsidR="00C65D4B" w:rsidRDefault="00C2273B" w:rsidP="00C65D4B">
          <w:pPr>
            <w:rPr>
              <w:b/>
              <w:bCs/>
            </w:rPr>
          </w:pPr>
          <w:r>
            <w:rPr>
              <w:b/>
              <w:bCs/>
            </w:rPr>
            <w:fldChar w:fldCharType="end"/>
          </w:r>
        </w:p>
      </w:sdtContent>
    </w:sdt>
    <w:p w14:paraId="3ECE8051" w14:textId="43CD1245" w:rsidR="00B220C9" w:rsidRPr="00C65D4B" w:rsidRDefault="004042AB" w:rsidP="00C65D4B">
      <w:r w:rsidRPr="002D0C5A">
        <w:rPr>
          <w:noProof/>
          <w:color w:val="595959" w:themeColor="text1" w:themeTint="A6"/>
          <w:lang w:val="nb-NO" w:eastAsia="nb-NO"/>
        </w:rPr>
        <w:lastRenderedPageBreak/>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23EA64" w14:textId="6A9E01CD" w:rsidR="00676E0E" w:rsidRDefault="00676E0E" w:rsidP="000B1AAC">
      <w:pPr>
        <w:pStyle w:val="Overskrift1"/>
      </w:pPr>
      <w:bookmarkStart w:id="0" w:name="_Toc17306310"/>
      <w:r>
        <w:t>Libraries</w:t>
      </w:r>
      <w:bookmarkEnd w:id="0"/>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1" w:name="_Toc17306311"/>
      <w:r w:rsidRPr="00676E0E">
        <w:t>UVVM Initialization</w:t>
      </w:r>
      <w:bookmarkEnd w:id="1"/>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 :</w:t>
            </w:r>
            <w:proofErr w:type="gramEnd"/>
            <w:r w:rsidRPr="00712243">
              <w:rPr>
                <w:rFonts w:ascii="Courier New" w:hAnsi="Courier New" w:cs="Courier New"/>
                <w:sz w:val="15"/>
                <w:szCs w:val="15"/>
                <w:lang w:val="nb-NO"/>
              </w:rPr>
              <w:t xml:space="preserve">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2" w:name="_Toc17306312"/>
      <w:r>
        <w:t xml:space="preserve">UVVM </w:t>
      </w:r>
      <w:r w:rsidR="006F68C0">
        <w:t xml:space="preserve">and VVC </w:t>
      </w:r>
      <w:r>
        <w:t>Shared Variables</w:t>
      </w:r>
      <w:bookmarkEnd w:id="2"/>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3"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3"/>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4" w:name="_Toc17306313"/>
      <w:r w:rsidRPr="007301BE">
        <w:t xml:space="preserve">VVC </w:t>
      </w:r>
      <w:r w:rsidR="007F51B6" w:rsidRPr="007301BE">
        <w:t xml:space="preserve">Status, </w:t>
      </w:r>
      <w:r w:rsidRPr="007301BE">
        <w:t>Configuration</w:t>
      </w:r>
      <w:r w:rsidR="007F51B6" w:rsidRPr="007301BE">
        <w:t xml:space="preserve"> and Transaction information</w:t>
      </w:r>
      <w:bookmarkEnd w:id="4"/>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089C13DF"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959C4">
        <w:t xml:space="preserve">Figure </w:t>
      </w:r>
      <w:r w:rsidR="00E959C4">
        <w:rPr>
          <w:noProof/>
        </w:rPr>
        <w:t>4</w:t>
      </w:r>
      <w:r w:rsidR="00E959C4">
        <w:noBreakHyphen/>
      </w:r>
      <w:r w:rsidR="00E959C4">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7DAE230" w:rsidR="004B3609" w:rsidRDefault="0089558A" w:rsidP="0089558A">
      <w:pPr>
        <w:pStyle w:val="Bildetekst"/>
        <w:jc w:val="center"/>
        <w:rPr>
          <w:rFonts w:ascii="Helvetica Neue Thin" w:hAnsi="Helvetica Neue Thin"/>
          <w:iCs/>
          <w:szCs w:val="18"/>
        </w:rPr>
      </w:pPr>
      <w:bookmarkStart w:id="5" w:name="_Ref508095131"/>
      <w:r>
        <w:t xml:space="preserve">Figure </w:t>
      </w:r>
      <w:r>
        <w:fldChar w:fldCharType="begin"/>
      </w:r>
      <w:r>
        <w:instrText xml:space="preserve"> STYLEREF 1 \s </w:instrText>
      </w:r>
      <w:r>
        <w:fldChar w:fldCharType="separate"/>
      </w:r>
      <w:r w:rsidR="00E959C4">
        <w:rPr>
          <w:noProof/>
        </w:rPr>
        <w:t>4</w:t>
      </w:r>
      <w:r>
        <w:fldChar w:fldCharType="end"/>
      </w:r>
      <w:r>
        <w:noBreakHyphen/>
      </w:r>
      <w:r>
        <w:fldChar w:fldCharType="begin"/>
      </w:r>
      <w:r>
        <w:instrText xml:space="preserve"> SEQ Figure \* ARABIC \s 1 </w:instrText>
      </w:r>
      <w:r>
        <w:fldChar w:fldCharType="separate"/>
      </w:r>
      <w:r w:rsidR="00E959C4">
        <w:rPr>
          <w:noProof/>
        </w:rPr>
        <w:t>1</w:t>
      </w:r>
      <w:r>
        <w:fldChar w:fldCharType="end"/>
      </w:r>
      <w:bookmarkEnd w:id="5"/>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426A17A0" w14:textId="77777777" w:rsidR="006655A8" w:rsidRDefault="006655A8">
      <w:r>
        <w:br w:type="page"/>
      </w:r>
    </w:p>
    <w:p w14:paraId="60B40E24" w14:textId="37CFCB56" w:rsidR="006655A8" w:rsidRDefault="006655A8" w:rsidP="006655A8">
      <w:pPr>
        <w:pStyle w:val="Overskrift1"/>
      </w:pPr>
      <w:bookmarkStart w:id="6" w:name="_Toc17306314"/>
      <w:r>
        <w:lastRenderedPageBreak/>
        <w:t>Direct</w:t>
      </w:r>
      <w:r w:rsidRPr="007301BE">
        <w:t xml:space="preserve"> Transaction </w:t>
      </w:r>
      <w:r>
        <w:t>Transfer</w:t>
      </w:r>
      <w:bookmarkEnd w:id="6"/>
    </w:p>
    <w:p w14:paraId="39B876D6" w14:textId="0451B471" w:rsidR="005F1A0E" w:rsidRDefault="005F1A0E" w:rsidP="005F1A0E">
      <w:r>
        <w:t xml:space="preserve">From the release of UVVM version 3.0 the testing framework can now benefit from an even more advanced transaction model, allowing </w:t>
      </w:r>
      <w:r w:rsidR="0094121B">
        <w:t xml:space="preserve">sharing of transaction information </w:t>
      </w:r>
      <w:r w:rsidR="00852CFE">
        <w:t>among</w:t>
      </w:r>
      <w:r w:rsidR="0094121B">
        <w:t xml:space="preserve"> testbench sequencer, VVCs, monitors, models and scoreboards</w:t>
      </w:r>
      <w:r w:rsidR="00852CFE">
        <w:t>.</w:t>
      </w:r>
    </w:p>
    <w:p w14:paraId="4D84040E" w14:textId="5C9C5EFB" w:rsidR="00B15B87" w:rsidRDefault="00B15B87" w:rsidP="005F1A0E"/>
    <w:p w14:paraId="75F4B17A" w14:textId="26839762" w:rsidR="00B15B87" w:rsidRPr="005F1A0E" w:rsidRDefault="00B15B87" w:rsidP="005F1A0E">
      <w:r>
        <w:t>Direct transaction transfer in UVVM is a way of transferring all required information about a transaction on the DUT interface out of the VVC at a high level of abstraction. This is a powerful mechanism that allow the model, sequencer or other part of the testbench to get information about a DUT access without needing to analyse the actual interface.</w:t>
      </w:r>
    </w:p>
    <w:p w14:paraId="5F70112B" w14:textId="5117948C" w:rsidR="006655A8" w:rsidRDefault="0092147E" w:rsidP="0092147E">
      <w:pPr>
        <w:pStyle w:val="Overskrift2"/>
      </w:pPr>
      <w:bookmarkStart w:id="7" w:name="_Ref17292099"/>
      <w:bookmarkStart w:id="8" w:name="_Toc17306315"/>
      <w:r>
        <w:t>Transaction definitions</w:t>
      </w:r>
      <w:bookmarkEnd w:id="7"/>
      <w:bookmarkEnd w:id="8"/>
    </w:p>
    <w:p w14:paraId="10AA9BDA" w14:textId="54A01A7B" w:rsidR="0092147E" w:rsidRDefault="0092147E" w:rsidP="0092147E">
      <w:r>
        <w:t>The type of transaction depends on its origin and destination, and with UVVM Direct Transaction Transfer (DTT) the following transaction terms applies:</w:t>
      </w:r>
    </w:p>
    <w:p w14:paraId="1D24D13A" w14:textId="77777777" w:rsidR="0092147E" w:rsidRDefault="0092147E" w:rsidP="0092147E"/>
    <w:p w14:paraId="4F064921" w14:textId="4BF2DB0F" w:rsidR="0092147E" w:rsidRDefault="0092147E" w:rsidP="0092147E">
      <w:pPr>
        <w:pStyle w:val="Listeavsnitt"/>
        <w:numPr>
          <w:ilvl w:val="0"/>
          <w:numId w:val="49"/>
        </w:numPr>
      </w:pPr>
      <w:r>
        <w:t xml:space="preserve">Base transaction (BT) is the lowest level of a complete transaction as allowed from the central sequencer. E.g. </w:t>
      </w:r>
      <w:proofErr w:type="spellStart"/>
      <w:r>
        <w:t>Avalon_</w:t>
      </w:r>
      <w:proofErr w:type="gramStart"/>
      <w:r>
        <w:t>Read</w:t>
      </w:r>
      <w:proofErr w:type="spellEnd"/>
      <w:r>
        <w:t>(</w:t>
      </w:r>
      <w:proofErr w:type="gramEnd"/>
      <w:r>
        <w:t>)</w:t>
      </w:r>
    </w:p>
    <w:p w14:paraId="3ECAA42B" w14:textId="6F46236C" w:rsidR="0092147E" w:rsidRDefault="0092147E" w:rsidP="0092147E">
      <w:pPr>
        <w:pStyle w:val="Listeavsnitt"/>
        <w:numPr>
          <w:ilvl w:val="0"/>
          <w:numId w:val="49"/>
        </w:numPr>
      </w:pPr>
      <w:r>
        <w:t xml:space="preserve">Sub-transaction (ST) is </w:t>
      </w:r>
      <w:r w:rsidR="00DE2FE1">
        <w:t xml:space="preserve">the lowest level of an incomplete transaction as allowed from a BFM. E.g. </w:t>
      </w:r>
      <w:proofErr w:type="spellStart"/>
      <w:r w:rsidR="00DE2FE1">
        <w:t>Avalon_Read_</w:t>
      </w:r>
      <w:proofErr w:type="gramStart"/>
      <w:r w:rsidR="00DE2FE1">
        <w:t>Request</w:t>
      </w:r>
      <w:proofErr w:type="spellEnd"/>
      <w:r w:rsidR="00DE2FE1">
        <w:t>(</w:t>
      </w:r>
      <w:proofErr w:type="gramEnd"/>
      <w:r w:rsidR="00DE2FE1">
        <w:t>)</w:t>
      </w:r>
    </w:p>
    <w:p w14:paraId="70C9DC78" w14:textId="1DD949A5" w:rsidR="00DE2FE1" w:rsidRDefault="00DE2FE1" w:rsidP="0092147E">
      <w:pPr>
        <w:pStyle w:val="Listeavsnitt"/>
        <w:numPr>
          <w:ilvl w:val="0"/>
          <w:numId w:val="49"/>
        </w:numPr>
      </w:pPr>
      <w:r>
        <w:t>Leaf transaction</w:t>
      </w:r>
      <w:r w:rsidR="007728DE">
        <w:t xml:space="preserve"> (LT)</w:t>
      </w:r>
      <w:r>
        <w:t xml:space="preserve"> is the lowest level of complete or incomplete transaction. I.e. a sub-transaction when this is defined, otherwise a base transaction.</w:t>
      </w:r>
    </w:p>
    <w:p w14:paraId="6878A3A7" w14:textId="054062C9" w:rsidR="00DE2FE1" w:rsidRDefault="00DE2FE1" w:rsidP="0092147E">
      <w:pPr>
        <w:pStyle w:val="Listeavsnitt"/>
        <w:numPr>
          <w:ilvl w:val="0"/>
          <w:numId w:val="49"/>
        </w:numPr>
      </w:pPr>
      <w:r>
        <w:t xml:space="preserve">Compound transaction (CT) is a set of transactions or others methods or statements that as a total is doing a more complex operation. E.g. </w:t>
      </w:r>
      <w:proofErr w:type="spellStart"/>
      <w:r>
        <w:t>SBI_Poll_</w:t>
      </w:r>
      <w:proofErr w:type="gramStart"/>
      <w:r>
        <w:t>Until</w:t>
      </w:r>
      <w:proofErr w:type="spellEnd"/>
      <w:r>
        <w:t>(</w:t>
      </w:r>
      <w:proofErr w:type="gramEnd"/>
      <w:r>
        <w:t>).</w:t>
      </w:r>
    </w:p>
    <w:p w14:paraId="637B6EF5" w14:textId="77777777" w:rsidR="0094121B" w:rsidRDefault="0094121B" w:rsidP="0094121B">
      <w:pPr>
        <w:pStyle w:val="Overskrift2"/>
        <w:rPr>
          <w:kern w:val="28"/>
          <w:sz w:val="24"/>
        </w:rPr>
      </w:pPr>
      <w:bookmarkStart w:id="9" w:name="_Toc17306316"/>
      <w:r>
        <w:t>Transaction details</w:t>
      </w:r>
      <w:bookmarkEnd w:id="9"/>
    </w:p>
    <w:p w14:paraId="77B42164" w14:textId="08516425" w:rsidR="00B15B87" w:rsidRDefault="00B15B87" w:rsidP="0094121B">
      <w:r>
        <w:t xml:space="preserve">The transaction information medium is a global signal that hold all required information </w:t>
      </w:r>
      <w:r w:rsidR="006A72DF">
        <w:t>gathered</w:t>
      </w:r>
      <w:r>
        <w:t xml:space="preserve"> in a </w:t>
      </w:r>
      <w:r w:rsidR="006A72DF">
        <w:t xml:space="preserve">transaction record. </w:t>
      </w:r>
    </w:p>
    <w:p w14:paraId="357BA38D" w14:textId="77777777" w:rsidR="00FE5A80" w:rsidRDefault="00FE5A80" w:rsidP="0094121B"/>
    <w:p w14:paraId="068D9B7D" w14:textId="4F78D3C9" w:rsidR="005F77A4" w:rsidRDefault="006350C5" w:rsidP="0094121B">
      <w:r w:rsidRPr="00AE5452">
        <w:t>Note</w:t>
      </w:r>
      <w:r>
        <w:t xml:space="preserve"> that </w:t>
      </w:r>
      <w:r w:rsidR="00AE5452">
        <w:t xml:space="preserve">transaction elements may vary, depending on type of VVC, interface and testbench environment. In </w:t>
      </w:r>
      <w:r w:rsidR="005F77A4">
        <w:fldChar w:fldCharType="begin"/>
      </w:r>
      <w:r w:rsidR="005F77A4">
        <w:instrText xml:space="preserve"> REF _Ref17305020 \h </w:instrText>
      </w:r>
      <w:r w:rsidR="005F77A4">
        <w:fldChar w:fldCharType="separate"/>
      </w:r>
      <w:r w:rsidR="005F77A4">
        <w:t xml:space="preserve">Table </w:t>
      </w:r>
      <w:r w:rsidR="005F77A4">
        <w:rPr>
          <w:noProof/>
        </w:rPr>
        <w:t>1</w:t>
      </w:r>
      <w:r w:rsidR="005F77A4">
        <w:fldChar w:fldCharType="end"/>
      </w:r>
      <w:r w:rsidR="00AE5452">
        <w:t xml:space="preserve"> and </w:t>
      </w:r>
      <w:r w:rsidR="005F77A4">
        <w:fldChar w:fldCharType="begin"/>
      </w:r>
      <w:r w:rsidR="005F77A4">
        <w:instrText xml:space="preserve"> REF _Ref17305028 \h </w:instrText>
      </w:r>
      <w:r w:rsidR="005F77A4">
        <w:fldChar w:fldCharType="separate"/>
      </w:r>
      <w:r w:rsidR="005F77A4">
        <w:t xml:space="preserve">Table </w:t>
      </w:r>
      <w:r w:rsidR="005F77A4">
        <w:rPr>
          <w:noProof/>
        </w:rPr>
        <w:t>2</w:t>
      </w:r>
      <w:r w:rsidR="005F77A4">
        <w:fldChar w:fldCharType="end"/>
      </w:r>
      <w:r w:rsidR="00AE5452">
        <w:t xml:space="preserve"> the required </w:t>
      </w:r>
      <w:r w:rsidR="003F6688">
        <w:t xml:space="preserve">VVC </w:t>
      </w:r>
      <w:r w:rsidR="00AE5452">
        <w:t>record elements are listed in white table rows, while grey table rows show potential record elements</w:t>
      </w:r>
      <w:r w:rsidR="003F6688">
        <w:t xml:space="preserve">, and </w:t>
      </w:r>
      <w:r w:rsidR="003F6688">
        <w:fldChar w:fldCharType="begin"/>
      </w:r>
      <w:r w:rsidR="003F6688">
        <w:instrText xml:space="preserve"> REF _Ref17306730 \h </w:instrText>
      </w:r>
      <w:r w:rsidR="003F6688">
        <w:fldChar w:fldCharType="separate"/>
      </w:r>
      <w:r w:rsidR="003F6688">
        <w:t xml:space="preserve">Table </w:t>
      </w:r>
      <w:r w:rsidR="003F6688">
        <w:rPr>
          <w:noProof/>
        </w:rPr>
        <w:t>3</w:t>
      </w:r>
      <w:r w:rsidR="003F6688">
        <w:fldChar w:fldCharType="end"/>
      </w:r>
      <w:r w:rsidR="003F6688">
        <w:t xml:space="preserve"> lists Monitor record elements.</w:t>
      </w:r>
    </w:p>
    <w:p w14:paraId="52617859" w14:textId="7C61C33D" w:rsidR="005F77A4" w:rsidRDefault="005F77A4" w:rsidP="0094121B"/>
    <w:p w14:paraId="56AA5A67" w14:textId="633E3655" w:rsidR="00067590" w:rsidRDefault="00067590" w:rsidP="0094121B">
      <w:r>
        <w:t>Note that a</w:t>
      </w:r>
      <w:r w:rsidR="005F77A4">
        <w:t xml:space="preserve"> VVC will </w:t>
      </w:r>
      <w:r w:rsidR="00716B34">
        <w:t>update</w:t>
      </w:r>
      <w:r w:rsidR="005F77A4">
        <w:t xml:space="preserve"> its DTT details prior to transaction request, i.e. </w:t>
      </w:r>
      <w:r w:rsidR="00716B34">
        <w:t xml:space="preserve">one delta cycle before </w:t>
      </w:r>
      <w:r w:rsidR="005F77A4">
        <w:t>requesting BFM activity</w:t>
      </w:r>
      <w:r w:rsidR="00716B34">
        <w:t>,</w:t>
      </w:r>
      <w:r w:rsidR="008A03E4">
        <w:t xml:space="preserve"> while a monitor will set its DTT information after BFM activity </w:t>
      </w:r>
      <w:r w:rsidR="007728DE">
        <w:t xml:space="preserve">(LT) </w:t>
      </w:r>
      <w:r w:rsidR="008A03E4">
        <w:t>has finished</w:t>
      </w:r>
      <w:r w:rsidR="003F6688">
        <w:t>, and that a</w:t>
      </w:r>
      <w:r w:rsidR="008A03E4">
        <w:t xml:space="preserve">ll </w:t>
      </w:r>
      <w:r w:rsidR="00716B34">
        <w:t>DTT information</w:t>
      </w:r>
      <w:r w:rsidR="008A03E4">
        <w:t xml:space="preserve"> is set</w:t>
      </w:r>
      <w:r w:rsidR="00716B34">
        <w:t xml:space="preserve"> back to default values</w:t>
      </w:r>
      <w:r w:rsidR="008A03E4">
        <w:t xml:space="preserve"> a</w:t>
      </w:r>
      <w:r w:rsidR="00716B34">
        <w:t>ctivity has finished</w:t>
      </w:r>
      <w:r w:rsidR="008A03E4">
        <w:t xml:space="preserve">. </w:t>
      </w:r>
      <w:r>
        <w:t xml:space="preserve"> </w:t>
      </w:r>
    </w:p>
    <w:p w14:paraId="64B73A1C" w14:textId="1257B508" w:rsidR="00FE5A80" w:rsidRDefault="00FE5A80" w:rsidP="0094121B"/>
    <w:p w14:paraId="49C89DB7" w14:textId="77777777" w:rsidR="00133FC4" w:rsidRDefault="00133FC4" w:rsidP="0094121B">
      <w:bookmarkStart w:id="10" w:name="_GoBack"/>
      <w:bookmarkEnd w:id="10"/>
    </w:p>
    <w:p w14:paraId="3433F3DD" w14:textId="04508C46" w:rsidR="005F77A4" w:rsidRDefault="005F77A4" w:rsidP="00067590">
      <w:pPr>
        <w:pStyle w:val="Bildetekst"/>
        <w:keepNext/>
        <w:jc w:val="center"/>
      </w:pPr>
      <w:bookmarkStart w:id="11" w:name="_Ref17305020"/>
      <w:r>
        <w:t xml:space="preserve">Table </w:t>
      </w:r>
      <w:r>
        <w:fldChar w:fldCharType="begin"/>
      </w:r>
      <w:r>
        <w:instrText xml:space="preserve"> SEQ Table \* ARABIC </w:instrText>
      </w:r>
      <w:r>
        <w:fldChar w:fldCharType="separate"/>
      </w:r>
      <w:r w:rsidR="00CE034F">
        <w:rPr>
          <w:noProof/>
        </w:rPr>
        <w:t>1</w:t>
      </w:r>
      <w:r>
        <w:fldChar w:fldCharType="end"/>
      </w:r>
      <w:bookmarkEnd w:id="11"/>
      <w:r>
        <w:t xml:space="preserve"> - VVC Transaction record </w:t>
      </w:r>
      <w:proofErr w:type="spellStart"/>
      <w:r>
        <w:t>t_vvc_transaction</w:t>
      </w:r>
      <w:proofErr w:type="spellEnd"/>
      <w:r w:rsidR="00B959F1">
        <w:t xml:space="preserve"> – not applicable for Monitors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6350C5" w:rsidRPr="00C862E0" w14:paraId="23BC8EC4" w14:textId="77777777" w:rsidTr="00181218">
        <w:tc>
          <w:tcPr>
            <w:tcW w:w="861" w:type="pct"/>
            <w:shd w:val="solid" w:color="000000" w:fill="FFFFFF"/>
          </w:tcPr>
          <w:p w14:paraId="495FC480" w14:textId="77777777" w:rsidR="006350C5" w:rsidRPr="001F04DC" w:rsidRDefault="006350C5" w:rsidP="00181218">
            <w:pPr>
              <w:tabs>
                <w:tab w:val="left" w:pos="4820"/>
              </w:tabs>
              <w:rPr>
                <w:b/>
                <w:bCs/>
                <w:szCs w:val="18"/>
              </w:rPr>
            </w:pPr>
            <w:r>
              <w:rPr>
                <w:b/>
                <w:bCs/>
                <w:szCs w:val="18"/>
              </w:rPr>
              <w:t>Record element</w:t>
            </w:r>
          </w:p>
        </w:tc>
        <w:tc>
          <w:tcPr>
            <w:tcW w:w="777" w:type="pct"/>
            <w:shd w:val="solid" w:color="000000" w:fill="FFFFFF"/>
          </w:tcPr>
          <w:p w14:paraId="7A023272" w14:textId="77777777" w:rsidR="006350C5" w:rsidRPr="001F04DC" w:rsidRDefault="006350C5" w:rsidP="00181218">
            <w:pPr>
              <w:tabs>
                <w:tab w:val="left" w:pos="4820"/>
              </w:tabs>
              <w:rPr>
                <w:b/>
                <w:bCs/>
                <w:szCs w:val="18"/>
              </w:rPr>
            </w:pPr>
            <w:r>
              <w:rPr>
                <w:b/>
                <w:bCs/>
                <w:szCs w:val="18"/>
              </w:rPr>
              <w:t>Type</w:t>
            </w:r>
          </w:p>
        </w:tc>
        <w:tc>
          <w:tcPr>
            <w:tcW w:w="3362" w:type="pct"/>
            <w:shd w:val="solid" w:color="000000" w:fill="FFFFFF"/>
          </w:tcPr>
          <w:p w14:paraId="41563859" w14:textId="77777777" w:rsidR="006350C5" w:rsidRPr="001F04DC" w:rsidRDefault="006350C5" w:rsidP="00181218">
            <w:pPr>
              <w:tabs>
                <w:tab w:val="left" w:pos="4820"/>
              </w:tabs>
              <w:rPr>
                <w:b/>
                <w:bCs/>
                <w:szCs w:val="18"/>
              </w:rPr>
            </w:pPr>
            <w:r w:rsidRPr="001F04DC">
              <w:rPr>
                <w:b/>
                <w:bCs/>
                <w:szCs w:val="18"/>
              </w:rPr>
              <w:t>Description</w:t>
            </w:r>
          </w:p>
        </w:tc>
      </w:tr>
      <w:tr w:rsidR="006350C5" w:rsidRPr="00C862E0" w14:paraId="2AD33718" w14:textId="77777777" w:rsidTr="00181218">
        <w:tc>
          <w:tcPr>
            <w:tcW w:w="861" w:type="pct"/>
            <w:shd w:val="clear" w:color="auto" w:fill="auto"/>
          </w:tcPr>
          <w:p w14:paraId="13BDC647" w14:textId="48793B3F" w:rsidR="006350C5" w:rsidRDefault="005F77A4" w:rsidP="00181218">
            <w:pPr>
              <w:tabs>
                <w:tab w:val="left" w:pos="4820"/>
              </w:tabs>
              <w:spacing w:before="20" w:after="20" w:line="20" w:lineRule="atLeast"/>
              <w:rPr>
                <w:rFonts w:ascii="Verdana" w:hAnsi="Verdana" w:cs="Helvetica"/>
                <w:sz w:val="14"/>
              </w:rPr>
            </w:pPr>
            <w:proofErr w:type="spellStart"/>
            <w:r>
              <w:rPr>
                <w:rFonts w:ascii="Verdana" w:hAnsi="Verdana" w:cs="Helvetica"/>
                <w:sz w:val="14"/>
              </w:rPr>
              <w:t>b</w:t>
            </w:r>
            <w:r w:rsidR="006350C5">
              <w:rPr>
                <w:rFonts w:ascii="Verdana" w:hAnsi="Verdana" w:cs="Helvetica"/>
                <w:sz w:val="14"/>
              </w:rPr>
              <w:t>t</w:t>
            </w:r>
            <w:proofErr w:type="spellEnd"/>
          </w:p>
        </w:tc>
        <w:tc>
          <w:tcPr>
            <w:tcW w:w="777" w:type="pct"/>
          </w:tcPr>
          <w:p w14:paraId="726C59CC" w14:textId="228C781E" w:rsidR="006350C5" w:rsidRDefault="006350C5" w:rsidP="0018121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76F46EE8" w:rsidR="006350C5" w:rsidRDefault="006350C5" w:rsidP="00181218">
            <w:pPr>
              <w:tabs>
                <w:tab w:val="left" w:pos="4820"/>
              </w:tabs>
              <w:spacing w:before="20" w:after="20" w:line="20" w:lineRule="atLeast"/>
              <w:rPr>
                <w:rFonts w:ascii="Verdana" w:hAnsi="Verdana"/>
                <w:sz w:val="14"/>
              </w:rPr>
            </w:pPr>
            <w:r>
              <w:rPr>
                <w:rFonts w:ascii="Verdana" w:hAnsi="Verdana"/>
                <w:sz w:val="14"/>
              </w:rPr>
              <w:t xml:space="preserve">Base transaction, as described in </w:t>
            </w:r>
            <w:r>
              <w:rPr>
                <w:rFonts w:ascii="Verdana" w:hAnsi="Verdana"/>
                <w:sz w:val="14"/>
              </w:rPr>
              <w:fldChar w:fldCharType="begin"/>
            </w:r>
            <w:r>
              <w:rPr>
                <w:rFonts w:ascii="Verdana" w:hAnsi="Verdana"/>
                <w:sz w:val="14"/>
              </w:rPr>
              <w:instrText xml:space="preserve"> REF _Ref17292099 \r \h </w:instrText>
            </w:r>
            <w:r>
              <w:rPr>
                <w:rFonts w:ascii="Verdana" w:hAnsi="Verdana"/>
                <w:sz w:val="14"/>
              </w:rPr>
            </w:r>
            <w:r>
              <w:rPr>
                <w:rFonts w:ascii="Verdana" w:hAnsi="Verdana"/>
                <w:sz w:val="14"/>
              </w:rPr>
              <w:fldChar w:fldCharType="separate"/>
            </w:r>
            <w:r>
              <w:rPr>
                <w:rFonts w:ascii="Verdana" w:hAnsi="Verdana"/>
                <w:sz w:val="14"/>
              </w:rPr>
              <w:t>5.1</w:t>
            </w:r>
            <w:r>
              <w:rPr>
                <w:rFonts w:ascii="Verdana" w:hAnsi="Verdana"/>
                <w:sz w:val="14"/>
              </w:rPr>
              <w:fldChar w:fldCharType="end"/>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18121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35A33509" w:rsidR="006350C5" w:rsidRPr="006A72DF" w:rsidRDefault="006350C5" w:rsidP="00181218">
            <w:pPr>
              <w:tabs>
                <w:tab w:val="left" w:pos="4820"/>
              </w:tabs>
              <w:spacing w:before="20" w:after="20" w:line="20" w:lineRule="atLeast"/>
              <w:rPr>
                <w:rFonts w:ascii="Verdana" w:hAnsi="Verdana" w:cs="Courier New"/>
                <w:sz w:val="14"/>
              </w:rPr>
            </w:pPr>
            <w:r>
              <w:rPr>
                <w:rFonts w:ascii="Verdana" w:hAnsi="Verdana" w:cs="Courier New"/>
                <w:sz w:val="14"/>
              </w:rPr>
              <w:t xml:space="preserve">Compound transaction, as described in </w:t>
            </w:r>
            <w:r>
              <w:rPr>
                <w:rFonts w:ascii="Verdana" w:hAnsi="Verdana" w:cs="Courier New"/>
                <w:sz w:val="14"/>
              </w:rPr>
              <w:fldChar w:fldCharType="begin"/>
            </w:r>
            <w:r>
              <w:rPr>
                <w:rFonts w:ascii="Verdana" w:hAnsi="Verdana" w:cs="Courier New"/>
                <w:sz w:val="14"/>
              </w:rPr>
              <w:instrText xml:space="preserve"> REF _Ref17292099 \r \h </w:instrText>
            </w:r>
            <w:r w:rsidR="00AE5452">
              <w:rPr>
                <w:rFonts w:ascii="Verdana" w:hAnsi="Verdana" w:cs="Courier New"/>
                <w:sz w:val="14"/>
              </w:rPr>
              <w:instrText xml:space="preserve"> \* MERGEFORMAT </w:instrText>
            </w:r>
            <w:r>
              <w:rPr>
                <w:rFonts w:ascii="Verdana" w:hAnsi="Verdana" w:cs="Courier New"/>
                <w:sz w:val="14"/>
              </w:rPr>
            </w:r>
            <w:r>
              <w:rPr>
                <w:rFonts w:ascii="Verdana" w:hAnsi="Verdana" w:cs="Courier New"/>
                <w:sz w:val="14"/>
              </w:rPr>
              <w:fldChar w:fldCharType="separate"/>
            </w:r>
            <w:r>
              <w:rPr>
                <w:rFonts w:ascii="Verdana" w:hAnsi="Verdana" w:cs="Courier New"/>
                <w:sz w:val="14"/>
              </w:rPr>
              <w:t>5.1</w:t>
            </w:r>
            <w:r>
              <w:rPr>
                <w:rFonts w:ascii="Verdana" w:hAnsi="Verdana" w:cs="Courier New"/>
                <w:sz w:val="14"/>
              </w:rPr>
              <w:fldChar w:fldCharType="end"/>
            </w:r>
          </w:p>
        </w:tc>
      </w:tr>
    </w:tbl>
    <w:p w14:paraId="1CAE9179" w14:textId="77777777" w:rsidR="00FE5A80" w:rsidRDefault="00FE5A80" w:rsidP="00067590">
      <w:pPr>
        <w:pStyle w:val="Bildetekst"/>
        <w:keepNext/>
        <w:jc w:val="center"/>
      </w:pPr>
      <w:bookmarkStart w:id="12" w:name="_Ref17305028"/>
    </w:p>
    <w:p w14:paraId="2058F37D" w14:textId="77777777" w:rsidR="00FE5A80" w:rsidRDefault="00FE5A80">
      <w:pPr>
        <w:rPr>
          <w:i/>
        </w:rPr>
      </w:pPr>
      <w:r>
        <w:br w:type="page"/>
      </w:r>
    </w:p>
    <w:p w14:paraId="4107AB09" w14:textId="700F91CA" w:rsidR="005F77A4" w:rsidRDefault="005F77A4" w:rsidP="00067590">
      <w:pPr>
        <w:pStyle w:val="Bildetekst"/>
        <w:keepNext/>
        <w:jc w:val="center"/>
      </w:pPr>
      <w:r>
        <w:lastRenderedPageBreak/>
        <w:t xml:space="preserve">Table </w:t>
      </w:r>
      <w:r>
        <w:fldChar w:fldCharType="begin"/>
      </w:r>
      <w:r>
        <w:instrText xml:space="preserve"> SEQ Table \* ARABIC </w:instrText>
      </w:r>
      <w:r>
        <w:fldChar w:fldCharType="separate"/>
      </w:r>
      <w:r w:rsidR="00CE034F">
        <w:rPr>
          <w:noProof/>
        </w:rPr>
        <w:t>2</w:t>
      </w:r>
      <w:r>
        <w:fldChar w:fldCharType="end"/>
      </w:r>
      <w:bookmarkEnd w:id="12"/>
      <w:r>
        <w:t xml:space="preserve"> </w:t>
      </w:r>
      <w:r w:rsidR="00CE034F">
        <w:t>–</w:t>
      </w:r>
      <w:r>
        <w:t xml:space="preserve"> </w:t>
      </w:r>
      <w:r w:rsidR="00CE034F">
        <w:t>VVC t</w:t>
      </w:r>
      <w:r>
        <w:t xml:space="preserve">ransaction record </w:t>
      </w:r>
      <w:proofErr w:type="spellStart"/>
      <w:r>
        <w:t>t_transaction</w:t>
      </w:r>
      <w:proofErr w:type="spellEnd"/>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0"/>
        <w:gridCol w:w="1742"/>
        <w:gridCol w:w="2574"/>
        <w:gridCol w:w="9177"/>
      </w:tblGrid>
      <w:tr w:rsidR="00810888" w:rsidRPr="00C862E0" w14:paraId="621B2C08" w14:textId="77777777" w:rsidTr="00810888">
        <w:tc>
          <w:tcPr>
            <w:tcW w:w="539" w:type="pct"/>
            <w:shd w:val="solid" w:color="000000" w:fill="FFFFFF"/>
          </w:tcPr>
          <w:p w14:paraId="381B38FA" w14:textId="0767D796" w:rsidR="00810888" w:rsidRPr="001F04DC" w:rsidRDefault="00810888" w:rsidP="00181218">
            <w:pPr>
              <w:tabs>
                <w:tab w:val="left" w:pos="4820"/>
              </w:tabs>
              <w:rPr>
                <w:b/>
                <w:bCs/>
                <w:szCs w:val="18"/>
              </w:rPr>
            </w:pPr>
            <w:r>
              <w:rPr>
                <w:b/>
                <w:bCs/>
                <w:szCs w:val="18"/>
              </w:rPr>
              <w:t>Record element</w:t>
            </w:r>
          </w:p>
        </w:tc>
        <w:tc>
          <w:tcPr>
            <w:tcW w:w="576" w:type="pct"/>
            <w:shd w:val="solid" w:color="000000" w:fill="FFFFFF"/>
          </w:tcPr>
          <w:p w14:paraId="74F70188" w14:textId="4882AF8A" w:rsidR="00810888" w:rsidRPr="001F04DC" w:rsidRDefault="00810888" w:rsidP="00181218">
            <w:pPr>
              <w:tabs>
                <w:tab w:val="left" w:pos="4820"/>
              </w:tabs>
              <w:rPr>
                <w:b/>
                <w:bCs/>
                <w:szCs w:val="18"/>
              </w:rPr>
            </w:pPr>
            <w:r>
              <w:rPr>
                <w:b/>
                <w:bCs/>
                <w:szCs w:val="18"/>
              </w:rPr>
              <w:t>Type</w:t>
            </w:r>
          </w:p>
        </w:tc>
        <w:tc>
          <w:tcPr>
            <w:tcW w:w="851" w:type="pct"/>
            <w:shd w:val="solid" w:color="000000" w:fill="FFFFFF"/>
          </w:tcPr>
          <w:p w14:paraId="118185FA" w14:textId="345EBB46" w:rsidR="00810888" w:rsidRPr="001F04DC" w:rsidRDefault="00810888" w:rsidP="00181218">
            <w:pPr>
              <w:tabs>
                <w:tab w:val="left" w:pos="4820"/>
              </w:tabs>
              <w:rPr>
                <w:b/>
                <w:bCs/>
                <w:szCs w:val="18"/>
              </w:rPr>
            </w:pPr>
            <w:r>
              <w:rPr>
                <w:b/>
                <w:bCs/>
                <w:szCs w:val="18"/>
              </w:rPr>
              <w:t>Default</w:t>
            </w:r>
          </w:p>
        </w:tc>
        <w:tc>
          <w:tcPr>
            <w:tcW w:w="3034" w:type="pct"/>
            <w:shd w:val="solid" w:color="000000" w:fill="FFFFFF"/>
          </w:tcPr>
          <w:p w14:paraId="0765A943" w14:textId="19EF6EFC" w:rsidR="00810888" w:rsidRPr="001F04DC" w:rsidRDefault="00810888" w:rsidP="00181218">
            <w:pPr>
              <w:tabs>
                <w:tab w:val="left" w:pos="4820"/>
              </w:tabs>
              <w:rPr>
                <w:b/>
                <w:bCs/>
                <w:szCs w:val="18"/>
              </w:rPr>
            </w:pPr>
            <w:r w:rsidRPr="001F04DC">
              <w:rPr>
                <w:b/>
                <w:bCs/>
                <w:szCs w:val="18"/>
              </w:rPr>
              <w:t>Description</w:t>
            </w:r>
          </w:p>
        </w:tc>
      </w:tr>
      <w:tr w:rsidR="00810888" w:rsidRPr="00C862E0" w14:paraId="63659FB7" w14:textId="77777777" w:rsidTr="00810888">
        <w:tc>
          <w:tcPr>
            <w:tcW w:w="539" w:type="pct"/>
            <w:shd w:val="clear" w:color="auto" w:fill="auto"/>
          </w:tcPr>
          <w:p w14:paraId="47750DB1" w14:textId="3EF5AD5F" w:rsidR="00810888" w:rsidRDefault="00810888" w:rsidP="0018121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76" w:type="pct"/>
          </w:tcPr>
          <w:p w14:paraId="5B5CF829" w14:textId="7CBA0C60" w:rsidR="00810888" w:rsidRDefault="00810888" w:rsidP="0018121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851" w:type="pct"/>
          </w:tcPr>
          <w:p w14:paraId="0ABB8E54" w14:textId="4DD3F564" w:rsidR="00810888" w:rsidRDefault="00810888" w:rsidP="00181218">
            <w:pPr>
              <w:tabs>
                <w:tab w:val="left" w:pos="4820"/>
              </w:tabs>
              <w:spacing w:before="20" w:after="20" w:line="20" w:lineRule="atLeast"/>
              <w:rPr>
                <w:rFonts w:ascii="Verdana" w:hAnsi="Verdana"/>
                <w:sz w:val="14"/>
              </w:rPr>
            </w:pPr>
            <w:r>
              <w:rPr>
                <w:rFonts w:ascii="Verdana" w:hAnsi="Verdana"/>
                <w:sz w:val="14"/>
              </w:rPr>
              <w:t>NO_OPERATION</w:t>
            </w:r>
          </w:p>
        </w:tc>
        <w:tc>
          <w:tcPr>
            <w:tcW w:w="3034" w:type="pct"/>
            <w:shd w:val="clear" w:color="auto" w:fill="auto"/>
          </w:tcPr>
          <w:p w14:paraId="09EFB0F1" w14:textId="30FD914A" w:rsidR="00810888" w:rsidRDefault="00810888" w:rsidP="00181218">
            <w:pPr>
              <w:tabs>
                <w:tab w:val="left" w:pos="4820"/>
              </w:tabs>
              <w:spacing w:before="20" w:after="20" w:line="20" w:lineRule="atLeast"/>
              <w:rPr>
                <w:rFonts w:ascii="Verdana" w:hAnsi="Verdana"/>
                <w:sz w:val="14"/>
              </w:rPr>
            </w:pPr>
            <w:r>
              <w:rPr>
                <w:rFonts w:ascii="Verdana" w:hAnsi="Verdana"/>
                <w:sz w:val="14"/>
              </w:rPr>
              <w:t xml:space="preserve">Current state of operation on DUT. E.g. NO_OPERATION, WRITE, READ, POLL_UNTIL. </w:t>
            </w:r>
          </w:p>
          <w:p w14:paraId="4BBB16C7" w14:textId="2D9AC7CC" w:rsidR="00810888" w:rsidRDefault="00810888" w:rsidP="00181218">
            <w:pPr>
              <w:tabs>
                <w:tab w:val="left" w:pos="4820"/>
              </w:tabs>
              <w:spacing w:before="20" w:after="20" w:line="20" w:lineRule="atLeast"/>
              <w:rPr>
                <w:rFonts w:ascii="Verdana" w:hAnsi="Verdana"/>
                <w:sz w:val="14"/>
              </w:rPr>
            </w:pPr>
            <w:r>
              <w:rPr>
                <w:rFonts w:ascii="Verdana" w:hAnsi="Verdana"/>
                <w:sz w:val="14"/>
              </w:rPr>
              <w:t>All operations will be separated with a NO_OPERATION for at least 1 delta cycle, e.g. NO_OPERATION – WRITE – NO_OPERATION – READ – NO_OPERATION.</w:t>
            </w:r>
          </w:p>
        </w:tc>
      </w:tr>
      <w:tr w:rsidR="00810888" w:rsidRPr="00C862E0" w14:paraId="2244BBE3" w14:textId="77777777" w:rsidTr="00810888">
        <w:tc>
          <w:tcPr>
            <w:tcW w:w="539" w:type="pct"/>
            <w:shd w:val="clear" w:color="auto" w:fill="D0CECE" w:themeFill="background2" w:themeFillShade="E6"/>
          </w:tcPr>
          <w:p w14:paraId="4CAD1E00" w14:textId="1A7B46B8" w:rsidR="00810888" w:rsidRPr="0068339F" w:rsidRDefault="00810888" w:rsidP="0018121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76" w:type="pct"/>
            <w:shd w:val="clear" w:color="auto" w:fill="D0CECE" w:themeFill="background2" w:themeFillShade="E6"/>
          </w:tcPr>
          <w:p w14:paraId="2997DEF2" w14:textId="38F6552C" w:rsidR="00810888" w:rsidRPr="006A72DF" w:rsidRDefault="00810888" w:rsidP="0018121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851" w:type="pct"/>
            <w:shd w:val="clear" w:color="auto" w:fill="D0CECE" w:themeFill="background2" w:themeFillShade="E6"/>
          </w:tcPr>
          <w:p w14:paraId="0B15F79A" w14:textId="60672436" w:rsidR="00810888" w:rsidRDefault="00810888" w:rsidP="00181218">
            <w:pPr>
              <w:tabs>
                <w:tab w:val="left" w:pos="4820"/>
              </w:tabs>
              <w:spacing w:before="20" w:after="20" w:line="20" w:lineRule="atLeast"/>
              <w:rPr>
                <w:rFonts w:ascii="Verdana" w:hAnsi="Verdana" w:cs="Courier New"/>
                <w:sz w:val="14"/>
              </w:rPr>
            </w:pPr>
            <w:r>
              <w:rPr>
                <w:rFonts w:ascii="Verdana" w:hAnsi="Verdana" w:cs="Courier New"/>
                <w:sz w:val="14"/>
              </w:rPr>
              <w:t>0x0</w:t>
            </w:r>
          </w:p>
        </w:tc>
        <w:tc>
          <w:tcPr>
            <w:tcW w:w="3034" w:type="pct"/>
            <w:shd w:val="clear" w:color="auto" w:fill="D0CECE" w:themeFill="background2" w:themeFillShade="E6"/>
          </w:tcPr>
          <w:p w14:paraId="2261F019" w14:textId="584FDE74" w:rsidR="00810888" w:rsidRPr="006A72DF" w:rsidRDefault="00810888" w:rsidP="00181218">
            <w:pPr>
              <w:tabs>
                <w:tab w:val="left" w:pos="4820"/>
              </w:tabs>
              <w:spacing w:before="20" w:after="20" w:line="20" w:lineRule="atLeast"/>
              <w:rPr>
                <w:rFonts w:ascii="Verdana" w:hAnsi="Verdana" w:cs="Courier New"/>
                <w:sz w:val="14"/>
              </w:rPr>
            </w:pPr>
            <w:r>
              <w:rPr>
                <w:rFonts w:ascii="Verdana" w:hAnsi="Verdana" w:cs="Courier New"/>
                <w:sz w:val="14"/>
              </w:rPr>
              <w:t>Requested DUT address to read / write</w:t>
            </w:r>
          </w:p>
        </w:tc>
      </w:tr>
      <w:tr w:rsidR="00810888" w:rsidRPr="00C862E0" w14:paraId="49D5612C" w14:textId="77777777" w:rsidTr="00810888">
        <w:tc>
          <w:tcPr>
            <w:tcW w:w="539" w:type="pct"/>
            <w:shd w:val="clear" w:color="auto" w:fill="D0CECE" w:themeFill="background2" w:themeFillShade="E6"/>
          </w:tcPr>
          <w:p w14:paraId="41E8B969" w14:textId="3161029F" w:rsidR="00810888" w:rsidRDefault="00810888" w:rsidP="0018121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76" w:type="pct"/>
            <w:shd w:val="clear" w:color="auto" w:fill="D0CECE" w:themeFill="background2" w:themeFillShade="E6"/>
          </w:tcPr>
          <w:p w14:paraId="2C56589C" w14:textId="544C0469" w:rsidR="00810888" w:rsidRPr="006A72DF" w:rsidRDefault="00810888" w:rsidP="0018121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851" w:type="pct"/>
            <w:shd w:val="clear" w:color="auto" w:fill="D0CECE" w:themeFill="background2" w:themeFillShade="E6"/>
          </w:tcPr>
          <w:p w14:paraId="79772F77" w14:textId="6D933B83" w:rsidR="00810888" w:rsidRDefault="00810888" w:rsidP="00181218">
            <w:pPr>
              <w:tabs>
                <w:tab w:val="left" w:pos="4820"/>
              </w:tabs>
              <w:spacing w:before="20" w:after="20" w:line="20" w:lineRule="atLeast"/>
              <w:rPr>
                <w:rFonts w:ascii="Verdana" w:hAnsi="Verdana" w:cs="Courier New"/>
                <w:sz w:val="14"/>
              </w:rPr>
            </w:pPr>
            <w:r>
              <w:rPr>
                <w:rFonts w:ascii="Verdana" w:hAnsi="Verdana" w:cs="Courier New"/>
                <w:sz w:val="14"/>
              </w:rPr>
              <w:t>0x0</w:t>
            </w:r>
          </w:p>
        </w:tc>
        <w:tc>
          <w:tcPr>
            <w:tcW w:w="3034" w:type="pct"/>
            <w:shd w:val="clear" w:color="auto" w:fill="D0CECE" w:themeFill="background2" w:themeFillShade="E6"/>
          </w:tcPr>
          <w:p w14:paraId="712F9789" w14:textId="64C87681" w:rsidR="00810888" w:rsidRPr="006A72DF" w:rsidRDefault="00810888" w:rsidP="00181218">
            <w:pPr>
              <w:tabs>
                <w:tab w:val="left" w:pos="4820"/>
              </w:tabs>
              <w:spacing w:before="20" w:after="20" w:line="20" w:lineRule="atLeast"/>
              <w:rPr>
                <w:rFonts w:ascii="Verdana" w:hAnsi="Verdana" w:cs="Courier New"/>
                <w:sz w:val="14"/>
              </w:rPr>
            </w:pPr>
            <w:r>
              <w:rPr>
                <w:rFonts w:ascii="Verdana" w:hAnsi="Verdana" w:cs="Courier New"/>
                <w:sz w:val="14"/>
              </w:rPr>
              <w:t>Requested DUT data to write / expect</w:t>
            </w:r>
          </w:p>
        </w:tc>
      </w:tr>
      <w:tr w:rsidR="00810888" w:rsidRPr="00CB1452" w14:paraId="16483AA6" w14:textId="77777777" w:rsidTr="00810888">
        <w:tc>
          <w:tcPr>
            <w:tcW w:w="539" w:type="pct"/>
            <w:shd w:val="clear" w:color="auto" w:fill="auto"/>
          </w:tcPr>
          <w:p w14:paraId="19FDBF4F" w14:textId="145E2922" w:rsidR="00810888" w:rsidRDefault="00810888" w:rsidP="0018121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Transaction_validity</w:t>
            </w:r>
            <w:proofErr w:type="spellEnd"/>
          </w:p>
        </w:tc>
        <w:tc>
          <w:tcPr>
            <w:tcW w:w="576" w:type="pct"/>
          </w:tcPr>
          <w:p w14:paraId="0D300E35" w14:textId="5110A8A2" w:rsidR="00810888" w:rsidRPr="006A72DF" w:rsidRDefault="00810888" w:rsidP="0018121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_transaction_validity</w:t>
            </w:r>
            <w:proofErr w:type="spellEnd"/>
          </w:p>
        </w:tc>
        <w:tc>
          <w:tcPr>
            <w:tcW w:w="851" w:type="pct"/>
          </w:tcPr>
          <w:p w14:paraId="769A579E" w14:textId="41AC214D" w:rsidR="00810888" w:rsidRDefault="00810888" w:rsidP="00181218">
            <w:pPr>
              <w:tabs>
                <w:tab w:val="left" w:pos="4820"/>
              </w:tabs>
              <w:spacing w:before="20" w:after="20" w:line="20" w:lineRule="atLeast"/>
              <w:rPr>
                <w:rFonts w:ascii="Verdana" w:hAnsi="Verdana" w:cs="Courier New"/>
                <w:sz w:val="14"/>
                <w:lang w:val="en-US"/>
              </w:rPr>
            </w:pPr>
            <w:r>
              <w:rPr>
                <w:rFonts w:ascii="Verdana" w:hAnsi="Verdana" w:cs="Courier New"/>
                <w:sz w:val="14"/>
                <w:lang w:val="en-US"/>
              </w:rPr>
              <w:t>VALID</w:t>
            </w:r>
          </w:p>
        </w:tc>
        <w:tc>
          <w:tcPr>
            <w:tcW w:w="3034" w:type="pct"/>
            <w:shd w:val="clear" w:color="auto" w:fill="auto"/>
          </w:tcPr>
          <w:p w14:paraId="7AAB3CCB" w14:textId="6C64EB0E" w:rsidR="00810888" w:rsidRPr="00E34337" w:rsidRDefault="00810888" w:rsidP="0018121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 xml:space="preserve">The transaction intention as seen from the VVC. </w:t>
            </w:r>
            <w:r w:rsidRPr="00E34337">
              <w:rPr>
                <w:rFonts w:ascii="Verdana" w:hAnsi="Verdana" w:cs="Courier New"/>
                <w:b/>
                <w:bCs/>
                <w:szCs w:val="18"/>
                <w:vertAlign w:val="superscript"/>
                <w:lang w:val="en-US"/>
              </w:rPr>
              <w:t>1</w:t>
            </w:r>
            <w:r>
              <w:rPr>
                <w:rFonts w:ascii="Verdana" w:hAnsi="Verdana" w:cs="Courier New"/>
                <w:sz w:val="14"/>
                <w:szCs w:val="14"/>
                <w:lang w:val="en-US"/>
              </w:rPr>
              <w:t xml:space="preserve"> </w:t>
            </w:r>
            <w:r>
              <w:rPr>
                <w:rFonts w:ascii="Verdana" w:hAnsi="Verdana" w:cs="Courier New"/>
                <w:sz w:val="14"/>
                <w:szCs w:val="14"/>
                <w:lang w:val="en-US"/>
              </w:rPr>
              <w:br/>
              <w:t>Supported validity types are VALID, INVALID, INTENDED_VALID, INTENDED_INVALID</w:t>
            </w:r>
          </w:p>
        </w:tc>
      </w:tr>
      <w:tr w:rsidR="00810888" w:rsidRPr="00CB1452" w14:paraId="3ADE11BA" w14:textId="77777777" w:rsidTr="00810888">
        <w:tc>
          <w:tcPr>
            <w:tcW w:w="539" w:type="pct"/>
            <w:shd w:val="clear" w:color="auto" w:fill="auto"/>
          </w:tcPr>
          <w:p w14:paraId="42FBB70C" w14:textId="053854DE" w:rsidR="00810888" w:rsidRDefault="00810888" w:rsidP="00181218">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76" w:type="pct"/>
          </w:tcPr>
          <w:p w14:paraId="4DAA1DE7" w14:textId="516BDE92" w:rsidR="00810888" w:rsidRPr="006A72DF" w:rsidRDefault="00810888" w:rsidP="0018121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851" w:type="pct"/>
          </w:tcPr>
          <w:p w14:paraId="61382897" w14:textId="05A8D503" w:rsidR="00810888" w:rsidRDefault="00810888" w:rsidP="00181218">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c>
          <w:tcPr>
            <w:tcW w:w="3034" w:type="pct"/>
            <w:shd w:val="clear" w:color="auto" w:fill="auto"/>
          </w:tcPr>
          <w:p w14:paraId="1249F8E5" w14:textId="1A203905" w:rsidR="00810888" w:rsidRPr="006A72DF" w:rsidRDefault="00810888" w:rsidP="00181218">
            <w:pPr>
              <w:tabs>
                <w:tab w:val="left" w:pos="4820"/>
              </w:tabs>
              <w:spacing w:before="20" w:after="20" w:line="20" w:lineRule="atLeast"/>
              <w:rPr>
                <w:rFonts w:ascii="Verdana" w:hAnsi="Verdana" w:cs="Courier New"/>
                <w:sz w:val="14"/>
                <w:lang w:val="en-US"/>
              </w:rPr>
            </w:pPr>
            <w:r>
              <w:rPr>
                <w:rFonts w:ascii="Verdana" w:hAnsi="Verdana" w:cs="Courier New"/>
                <w:sz w:val="14"/>
                <w:lang w:val="en-US"/>
              </w:rPr>
              <w:t>Information essential to VVCs, i.e. VVC command index and message.</w:t>
            </w:r>
          </w:p>
        </w:tc>
      </w:tr>
      <w:tr w:rsidR="00810888" w:rsidRPr="00CB1452" w14:paraId="6D71ECB6" w14:textId="77777777" w:rsidTr="00810888">
        <w:tc>
          <w:tcPr>
            <w:tcW w:w="539" w:type="pct"/>
            <w:shd w:val="clear" w:color="auto" w:fill="D0CECE" w:themeFill="background2" w:themeFillShade="E6"/>
          </w:tcPr>
          <w:p w14:paraId="43FC72BF" w14:textId="5D725F19" w:rsidR="00810888" w:rsidRDefault="00810888" w:rsidP="0018121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76" w:type="pct"/>
            <w:shd w:val="clear" w:color="auto" w:fill="D0CECE" w:themeFill="background2" w:themeFillShade="E6"/>
          </w:tcPr>
          <w:p w14:paraId="46CACF25" w14:textId="5F7695CA" w:rsidR="00810888" w:rsidRDefault="00810888" w:rsidP="0018121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851" w:type="pct"/>
            <w:shd w:val="clear" w:color="auto" w:fill="D0CECE" w:themeFill="background2" w:themeFillShade="E6"/>
          </w:tcPr>
          <w:p w14:paraId="60BA3652" w14:textId="013A6E17" w:rsidR="00810888" w:rsidRDefault="00810888" w:rsidP="00181218">
            <w:pPr>
              <w:tabs>
                <w:tab w:val="left" w:pos="4820"/>
              </w:tabs>
              <w:spacing w:before="20" w:after="20" w:line="20" w:lineRule="atLeast"/>
              <w:rPr>
                <w:rFonts w:ascii="Verdana" w:hAnsi="Verdana" w:cs="Courier New"/>
                <w:sz w:val="14"/>
                <w:lang w:val="en-US"/>
              </w:rPr>
            </w:pPr>
            <w:r>
              <w:rPr>
                <w:rFonts w:ascii="Verdana" w:hAnsi="Verdana" w:cs="Courier New"/>
                <w:sz w:val="14"/>
                <w:lang w:val="en-US"/>
              </w:rPr>
              <w:t>false</w:t>
            </w:r>
          </w:p>
        </w:tc>
        <w:tc>
          <w:tcPr>
            <w:tcW w:w="3034" w:type="pct"/>
            <w:shd w:val="clear" w:color="auto" w:fill="D0CECE" w:themeFill="background2" w:themeFillShade="E6"/>
          </w:tcPr>
          <w:p w14:paraId="6D799C66" w14:textId="427A1667" w:rsidR="00810888" w:rsidRPr="006A72DF" w:rsidRDefault="00810888" w:rsidP="0018121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implemented in a DUT access, e.g. parity error</w:t>
            </w:r>
          </w:p>
        </w:tc>
      </w:tr>
    </w:tbl>
    <w:p w14:paraId="338C376E" w14:textId="66B84039" w:rsidR="006A72DF" w:rsidRDefault="006A72DF" w:rsidP="0094121B"/>
    <w:p w14:paraId="7DFD9934" w14:textId="77777777" w:rsidR="00FE5A80" w:rsidRDefault="00FE5A80" w:rsidP="00CE034F">
      <w:pPr>
        <w:pStyle w:val="Bildetekst"/>
        <w:keepNext/>
        <w:jc w:val="center"/>
      </w:pPr>
      <w:bookmarkStart w:id="13" w:name="_Ref17306730"/>
    </w:p>
    <w:p w14:paraId="42DD8EB3" w14:textId="0F81B4B1" w:rsidR="00CE034F" w:rsidRDefault="00CE034F" w:rsidP="00CE034F">
      <w:pPr>
        <w:pStyle w:val="Bildetekst"/>
        <w:keepNext/>
        <w:jc w:val="center"/>
      </w:pPr>
      <w:r>
        <w:t xml:space="preserve">Table </w:t>
      </w:r>
      <w:r>
        <w:fldChar w:fldCharType="begin"/>
      </w:r>
      <w:r>
        <w:instrText xml:space="preserve"> SEQ Table \* ARABIC </w:instrText>
      </w:r>
      <w:r>
        <w:fldChar w:fldCharType="separate"/>
      </w:r>
      <w:r>
        <w:rPr>
          <w:noProof/>
        </w:rPr>
        <w:t>3</w:t>
      </w:r>
      <w:r>
        <w:fldChar w:fldCharType="end"/>
      </w:r>
      <w:bookmarkEnd w:id="13"/>
      <w:r>
        <w:t xml:space="preserve"> - Monitor transaction record </w:t>
      </w:r>
      <w:proofErr w:type="spellStart"/>
      <w:r>
        <w:t>t_transaction</w:t>
      </w:r>
      <w:proofErr w:type="spellEnd"/>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0"/>
        <w:gridCol w:w="1742"/>
        <w:gridCol w:w="2574"/>
        <w:gridCol w:w="9177"/>
      </w:tblGrid>
      <w:tr w:rsidR="00810888" w:rsidRPr="00C862E0" w14:paraId="6B813D04" w14:textId="77777777" w:rsidTr="00810888">
        <w:tc>
          <w:tcPr>
            <w:tcW w:w="539" w:type="pct"/>
            <w:shd w:val="solid" w:color="000000" w:fill="FFFFFF"/>
          </w:tcPr>
          <w:p w14:paraId="5D9B5852" w14:textId="77777777" w:rsidR="00810888" w:rsidRPr="001F04DC" w:rsidRDefault="00810888" w:rsidP="001E34E9">
            <w:pPr>
              <w:tabs>
                <w:tab w:val="left" w:pos="4820"/>
              </w:tabs>
              <w:rPr>
                <w:b/>
                <w:bCs/>
                <w:szCs w:val="18"/>
              </w:rPr>
            </w:pPr>
            <w:bookmarkStart w:id="14" w:name="_Toc17306317"/>
            <w:r>
              <w:rPr>
                <w:b/>
                <w:bCs/>
                <w:szCs w:val="18"/>
              </w:rPr>
              <w:t>Record element</w:t>
            </w:r>
          </w:p>
        </w:tc>
        <w:tc>
          <w:tcPr>
            <w:tcW w:w="576" w:type="pct"/>
            <w:shd w:val="solid" w:color="000000" w:fill="FFFFFF"/>
          </w:tcPr>
          <w:p w14:paraId="2B981E8D" w14:textId="77777777" w:rsidR="00810888" w:rsidRPr="001F04DC" w:rsidRDefault="00810888" w:rsidP="001E34E9">
            <w:pPr>
              <w:tabs>
                <w:tab w:val="left" w:pos="4820"/>
              </w:tabs>
              <w:rPr>
                <w:b/>
                <w:bCs/>
                <w:szCs w:val="18"/>
              </w:rPr>
            </w:pPr>
            <w:r>
              <w:rPr>
                <w:b/>
                <w:bCs/>
                <w:szCs w:val="18"/>
              </w:rPr>
              <w:t>Type</w:t>
            </w:r>
          </w:p>
        </w:tc>
        <w:tc>
          <w:tcPr>
            <w:tcW w:w="851" w:type="pct"/>
            <w:shd w:val="solid" w:color="000000" w:fill="FFFFFF"/>
          </w:tcPr>
          <w:p w14:paraId="1F42BB59" w14:textId="6F889A64" w:rsidR="00810888" w:rsidRPr="001F04DC" w:rsidRDefault="00810888" w:rsidP="001E34E9">
            <w:pPr>
              <w:tabs>
                <w:tab w:val="left" w:pos="4820"/>
              </w:tabs>
              <w:rPr>
                <w:b/>
                <w:bCs/>
                <w:szCs w:val="18"/>
              </w:rPr>
            </w:pPr>
            <w:r>
              <w:rPr>
                <w:b/>
                <w:bCs/>
                <w:szCs w:val="18"/>
              </w:rPr>
              <w:t>Default</w:t>
            </w:r>
          </w:p>
        </w:tc>
        <w:tc>
          <w:tcPr>
            <w:tcW w:w="3034" w:type="pct"/>
            <w:shd w:val="solid" w:color="000000" w:fill="FFFFFF"/>
          </w:tcPr>
          <w:p w14:paraId="05D8DC1F" w14:textId="76F139C9" w:rsidR="00810888" w:rsidRPr="001F04DC" w:rsidRDefault="00810888" w:rsidP="001E34E9">
            <w:pPr>
              <w:tabs>
                <w:tab w:val="left" w:pos="4820"/>
              </w:tabs>
              <w:rPr>
                <w:b/>
                <w:bCs/>
                <w:szCs w:val="18"/>
              </w:rPr>
            </w:pPr>
            <w:r w:rsidRPr="001F04DC">
              <w:rPr>
                <w:b/>
                <w:bCs/>
                <w:szCs w:val="18"/>
              </w:rPr>
              <w:t>Description</w:t>
            </w:r>
          </w:p>
        </w:tc>
      </w:tr>
      <w:tr w:rsidR="00810888" w:rsidRPr="00C862E0" w14:paraId="6A20C8D0" w14:textId="77777777" w:rsidTr="00810888">
        <w:tc>
          <w:tcPr>
            <w:tcW w:w="539" w:type="pct"/>
            <w:shd w:val="clear" w:color="auto" w:fill="auto"/>
          </w:tcPr>
          <w:p w14:paraId="580EC5A7" w14:textId="77777777" w:rsidR="00810888" w:rsidRDefault="00810888" w:rsidP="001E34E9">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76" w:type="pct"/>
          </w:tcPr>
          <w:p w14:paraId="49C1739B" w14:textId="77777777" w:rsidR="00810888" w:rsidRDefault="00810888" w:rsidP="001E34E9">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851" w:type="pct"/>
          </w:tcPr>
          <w:p w14:paraId="2833CECD" w14:textId="4B5673CA" w:rsidR="00810888" w:rsidRDefault="00810888" w:rsidP="001E34E9">
            <w:pPr>
              <w:tabs>
                <w:tab w:val="left" w:pos="4820"/>
              </w:tabs>
              <w:spacing w:before="20" w:after="20" w:line="20" w:lineRule="atLeast"/>
              <w:rPr>
                <w:rFonts w:ascii="Verdana" w:hAnsi="Verdana"/>
                <w:sz w:val="14"/>
              </w:rPr>
            </w:pPr>
            <w:r>
              <w:rPr>
                <w:rFonts w:ascii="Verdana" w:hAnsi="Verdana"/>
                <w:sz w:val="14"/>
              </w:rPr>
              <w:t>NO_OPERATION</w:t>
            </w:r>
          </w:p>
        </w:tc>
        <w:tc>
          <w:tcPr>
            <w:tcW w:w="3034" w:type="pct"/>
            <w:shd w:val="clear" w:color="auto" w:fill="auto"/>
          </w:tcPr>
          <w:p w14:paraId="1D7CD648" w14:textId="5E1A0B63" w:rsidR="00810888" w:rsidRDefault="00810888" w:rsidP="001E34E9">
            <w:pPr>
              <w:tabs>
                <w:tab w:val="left" w:pos="4820"/>
              </w:tabs>
              <w:spacing w:before="20" w:after="20" w:line="20" w:lineRule="atLeast"/>
              <w:rPr>
                <w:rFonts w:ascii="Verdana" w:hAnsi="Verdana"/>
                <w:sz w:val="14"/>
              </w:rPr>
            </w:pPr>
            <w:r>
              <w:rPr>
                <w:rFonts w:ascii="Verdana" w:hAnsi="Verdana"/>
                <w:sz w:val="14"/>
              </w:rPr>
              <w:t xml:space="preserve">Current state of operation on DUT. E.g. NO_OPERATION, WRITE, READ, POLL_UNTIL. </w:t>
            </w:r>
          </w:p>
          <w:p w14:paraId="59353AE2" w14:textId="77777777" w:rsidR="00810888" w:rsidRDefault="00810888" w:rsidP="001E34E9">
            <w:pPr>
              <w:tabs>
                <w:tab w:val="left" w:pos="4820"/>
              </w:tabs>
              <w:spacing w:before="20" w:after="20" w:line="20" w:lineRule="atLeast"/>
              <w:rPr>
                <w:rFonts w:ascii="Verdana" w:hAnsi="Verdana"/>
                <w:sz w:val="14"/>
              </w:rPr>
            </w:pPr>
            <w:r>
              <w:rPr>
                <w:rFonts w:ascii="Verdana" w:hAnsi="Verdana"/>
                <w:sz w:val="14"/>
              </w:rPr>
              <w:t>All operations will be separated with a NO_OPERATION for at least 1 delta cycle, e.g. NO_OPERATION – WRITE – NO_OPERATION – READ – NO_OPERATION.</w:t>
            </w:r>
          </w:p>
        </w:tc>
      </w:tr>
      <w:tr w:rsidR="00810888" w:rsidRPr="00C862E0" w14:paraId="618C84EA" w14:textId="77777777" w:rsidTr="00810888">
        <w:tc>
          <w:tcPr>
            <w:tcW w:w="539" w:type="pct"/>
            <w:shd w:val="clear" w:color="auto" w:fill="D0CECE" w:themeFill="background2" w:themeFillShade="E6"/>
          </w:tcPr>
          <w:p w14:paraId="06C4D62B" w14:textId="77777777" w:rsidR="00810888" w:rsidRPr="0068339F" w:rsidRDefault="00810888" w:rsidP="001E34E9">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76" w:type="pct"/>
            <w:shd w:val="clear" w:color="auto" w:fill="D0CECE" w:themeFill="background2" w:themeFillShade="E6"/>
          </w:tcPr>
          <w:p w14:paraId="4858D3BD" w14:textId="77777777" w:rsidR="00810888" w:rsidRPr="006A72DF" w:rsidRDefault="00810888" w:rsidP="001E34E9">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851" w:type="pct"/>
            <w:shd w:val="clear" w:color="auto" w:fill="D0CECE" w:themeFill="background2" w:themeFillShade="E6"/>
          </w:tcPr>
          <w:p w14:paraId="6F9B81ED" w14:textId="3C48D7C7" w:rsidR="00810888" w:rsidRDefault="00810888" w:rsidP="001E34E9">
            <w:pPr>
              <w:tabs>
                <w:tab w:val="left" w:pos="4820"/>
              </w:tabs>
              <w:spacing w:before="20" w:after="20" w:line="20" w:lineRule="atLeast"/>
              <w:rPr>
                <w:rFonts w:ascii="Verdana" w:hAnsi="Verdana" w:cs="Courier New"/>
                <w:sz w:val="14"/>
              </w:rPr>
            </w:pPr>
            <w:r>
              <w:rPr>
                <w:rFonts w:ascii="Verdana" w:hAnsi="Verdana" w:cs="Courier New"/>
                <w:sz w:val="14"/>
              </w:rPr>
              <w:t>0x0</w:t>
            </w:r>
          </w:p>
        </w:tc>
        <w:tc>
          <w:tcPr>
            <w:tcW w:w="3034" w:type="pct"/>
            <w:shd w:val="clear" w:color="auto" w:fill="D0CECE" w:themeFill="background2" w:themeFillShade="E6"/>
          </w:tcPr>
          <w:p w14:paraId="12BFC245" w14:textId="66914F49" w:rsidR="00810888" w:rsidRPr="006A72DF" w:rsidRDefault="00810888" w:rsidP="001E34E9">
            <w:pPr>
              <w:tabs>
                <w:tab w:val="left" w:pos="4820"/>
              </w:tabs>
              <w:spacing w:before="20" w:after="20" w:line="20" w:lineRule="atLeast"/>
              <w:rPr>
                <w:rFonts w:ascii="Verdana" w:hAnsi="Verdana" w:cs="Courier New"/>
                <w:sz w:val="14"/>
              </w:rPr>
            </w:pPr>
            <w:r>
              <w:rPr>
                <w:rFonts w:ascii="Verdana" w:hAnsi="Verdana" w:cs="Courier New"/>
                <w:sz w:val="14"/>
              </w:rPr>
              <w:t>Requested DUT address to read / write</w:t>
            </w:r>
          </w:p>
        </w:tc>
      </w:tr>
      <w:tr w:rsidR="00810888" w:rsidRPr="00C862E0" w14:paraId="4D64A619" w14:textId="77777777" w:rsidTr="00810888">
        <w:tc>
          <w:tcPr>
            <w:tcW w:w="539" w:type="pct"/>
            <w:shd w:val="clear" w:color="auto" w:fill="D0CECE" w:themeFill="background2" w:themeFillShade="E6"/>
          </w:tcPr>
          <w:p w14:paraId="66D3F985" w14:textId="77777777" w:rsidR="00810888" w:rsidRDefault="00810888" w:rsidP="001E34E9">
            <w:pPr>
              <w:tabs>
                <w:tab w:val="left" w:pos="4820"/>
              </w:tabs>
              <w:spacing w:before="20" w:after="20" w:line="20" w:lineRule="atLeast"/>
              <w:rPr>
                <w:rFonts w:ascii="Verdana" w:hAnsi="Verdana" w:cs="Helvetica"/>
                <w:sz w:val="14"/>
              </w:rPr>
            </w:pPr>
            <w:r>
              <w:rPr>
                <w:rFonts w:ascii="Verdana" w:hAnsi="Verdana" w:cs="Helvetica"/>
                <w:sz w:val="14"/>
              </w:rPr>
              <w:t>Data</w:t>
            </w:r>
          </w:p>
        </w:tc>
        <w:tc>
          <w:tcPr>
            <w:tcW w:w="576" w:type="pct"/>
            <w:shd w:val="clear" w:color="auto" w:fill="D0CECE" w:themeFill="background2" w:themeFillShade="E6"/>
          </w:tcPr>
          <w:p w14:paraId="6D184E76" w14:textId="77777777" w:rsidR="00810888" w:rsidRPr="006A72DF" w:rsidRDefault="00810888" w:rsidP="001E34E9">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851" w:type="pct"/>
            <w:shd w:val="clear" w:color="auto" w:fill="D0CECE" w:themeFill="background2" w:themeFillShade="E6"/>
          </w:tcPr>
          <w:p w14:paraId="5CE22183" w14:textId="54519338" w:rsidR="00810888" w:rsidRDefault="00810888" w:rsidP="001E34E9">
            <w:pPr>
              <w:tabs>
                <w:tab w:val="left" w:pos="4820"/>
              </w:tabs>
              <w:spacing w:before="20" w:after="20" w:line="20" w:lineRule="atLeast"/>
              <w:rPr>
                <w:rFonts w:ascii="Verdana" w:hAnsi="Verdana" w:cs="Courier New"/>
                <w:sz w:val="14"/>
              </w:rPr>
            </w:pPr>
            <w:r>
              <w:rPr>
                <w:rFonts w:ascii="Verdana" w:hAnsi="Verdana" w:cs="Courier New"/>
                <w:sz w:val="14"/>
              </w:rPr>
              <w:t>0x0</w:t>
            </w:r>
          </w:p>
        </w:tc>
        <w:tc>
          <w:tcPr>
            <w:tcW w:w="3034" w:type="pct"/>
            <w:shd w:val="clear" w:color="auto" w:fill="D0CECE" w:themeFill="background2" w:themeFillShade="E6"/>
          </w:tcPr>
          <w:p w14:paraId="5886FB54" w14:textId="3BD45C35" w:rsidR="00810888" w:rsidRPr="006A72DF" w:rsidRDefault="00810888" w:rsidP="001E34E9">
            <w:pPr>
              <w:tabs>
                <w:tab w:val="left" w:pos="4820"/>
              </w:tabs>
              <w:spacing w:before="20" w:after="20" w:line="20" w:lineRule="atLeast"/>
              <w:rPr>
                <w:rFonts w:ascii="Verdana" w:hAnsi="Verdana" w:cs="Courier New"/>
                <w:sz w:val="14"/>
              </w:rPr>
            </w:pPr>
            <w:r>
              <w:rPr>
                <w:rFonts w:ascii="Verdana" w:hAnsi="Verdana" w:cs="Courier New"/>
                <w:sz w:val="14"/>
              </w:rPr>
              <w:t>Requested DUT data to write / expect</w:t>
            </w:r>
          </w:p>
        </w:tc>
      </w:tr>
      <w:tr w:rsidR="00810888" w:rsidRPr="00CB1452" w14:paraId="4103BC33" w14:textId="77777777" w:rsidTr="00810888">
        <w:tc>
          <w:tcPr>
            <w:tcW w:w="539" w:type="pct"/>
            <w:shd w:val="clear" w:color="auto" w:fill="auto"/>
          </w:tcPr>
          <w:p w14:paraId="2944EC18" w14:textId="77777777" w:rsidR="00810888" w:rsidRDefault="00810888" w:rsidP="001E34E9">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Transaction_validity</w:t>
            </w:r>
            <w:proofErr w:type="spellEnd"/>
          </w:p>
        </w:tc>
        <w:tc>
          <w:tcPr>
            <w:tcW w:w="576" w:type="pct"/>
          </w:tcPr>
          <w:p w14:paraId="5422147B" w14:textId="77777777" w:rsidR="00810888" w:rsidRPr="006A72DF" w:rsidRDefault="00810888" w:rsidP="001E34E9">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_transaction_validity</w:t>
            </w:r>
            <w:proofErr w:type="spellEnd"/>
          </w:p>
        </w:tc>
        <w:tc>
          <w:tcPr>
            <w:tcW w:w="851" w:type="pct"/>
          </w:tcPr>
          <w:p w14:paraId="49CF6635" w14:textId="16917D80" w:rsidR="00810888" w:rsidRDefault="00810888" w:rsidP="001E34E9">
            <w:pPr>
              <w:tabs>
                <w:tab w:val="left" w:pos="4820"/>
              </w:tabs>
              <w:spacing w:before="20" w:after="20" w:line="20" w:lineRule="atLeast"/>
              <w:rPr>
                <w:rFonts w:ascii="Verdana" w:hAnsi="Verdana" w:cs="Courier New"/>
                <w:sz w:val="14"/>
                <w:lang w:val="en-US"/>
              </w:rPr>
            </w:pPr>
            <w:r>
              <w:rPr>
                <w:rFonts w:ascii="Verdana" w:hAnsi="Verdana" w:cs="Courier New"/>
                <w:sz w:val="14"/>
                <w:lang w:val="en-US"/>
              </w:rPr>
              <w:t>VALID</w:t>
            </w:r>
          </w:p>
        </w:tc>
        <w:tc>
          <w:tcPr>
            <w:tcW w:w="3034" w:type="pct"/>
            <w:shd w:val="clear" w:color="auto" w:fill="auto"/>
          </w:tcPr>
          <w:p w14:paraId="3A78A2A1" w14:textId="6A2C8AA2" w:rsidR="00810888" w:rsidRPr="00E34337" w:rsidRDefault="00810888" w:rsidP="001E34E9">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 xml:space="preserve">The transaction intention as seen from the VVC. </w:t>
            </w:r>
            <w:r w:rsidRPr="00E34337">
              <w:rPr>
                <w:rFonts w:ascii="Verdana" w:hAnsi="Verdana" w:cs="Courier New"/>
                <w:b/>
                <w:bCs/>
                <w:szCs w:val="18"/>
                <w:vertAlign w:val="superscript"/>
                <w:lang w:val="en-US"/>
              </w:rPr>
              <w:t>1</w:t>
            </w:r>
            <w:r>
              <w:rPr>
                <w:rFonts w:ascii="Verdana" w:hAnsi="Verdana" w:cs="Courier New"/>
                <w:lang w:val="en-US"/>
              </w:rPr>
              <w:br/>
            </w:r>
            <w:r>
              <w:rPr>
                <w:rFonts w:ascii="Verdana" w:hAnsi="Verdana" w:cs="Courier New"/>
                <w:sz w:val="14"/>
                <w:szCs w:val="14"/>
                <w:lang w:val="en-US"/>
              </w:rPr>
              <w:t>Supported validity types are VALID, INVALID</w:t>
            </w:r>
            <w:r>
              <w:rPr>
                <w:rFonts w:ascii="Verdana" w:hAnsi="Verdana" w:cs="Courier New"/>
                <w:sz w:val="14"/>
                <w:szCs w:val="14"/>
                <w:lang w:val="en-US"/>
              </w:rPr>
              <w:t xml:space="preserve"> </w:t>
            </w:r>
          </w:p>
        </w:tc>
      </w:tr>
      <w:tr w:rsidR="00810888" w:rsidRPr="00CB1452" w14:paraId="5E835998" w14:textId="77777777" w:rsidTr="00810888">
        <w:tc>
          <w:tcPr>
            <w:tcW w:w="539" w:type="pct"/>
            <w:shd w:val="clear" w:color="auto" w:fill="auto"/>
          </w:tcPr>
          <w:p w14:paraId="4DC55A9C" w14:textId="61C90A79" w:rsidR="00810888" w:rsidRDefault="00810888" w:rsidP="00DE1CD3">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76" w:type="pct"/>
          </w:tcPr>
          <w:p w14:paraId="2731F9A0" w14:textId="78A3C1E9" w:rsidR="00810888" w:rsidRDefault="00810888" w:rsidP="00DE1CD3">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851" w:type="pct"/>
          </w:tcPr>
          <w:p w14:paraId="333BA706" w14:textId="3F2211D4" w:rsidR="00810888" w:rsidRDefault="00AC45FB" w:rsidP="00DE1CD3">
            <w:pPr>
              <w:tabs>
                <w:tab w:val="left" w:pos="4820"/>
              </w:tabs>
              <w:spacing w:before="20" w:after="20" w:line="20" w:lineRule="atLeast"/>
              <w:rPr>
                <w:rFonts w:ascii="Verdana" w:hAnsi="Verdana" w:cs="Courier New"/>
                <w:sz w:val="14"/>
                <w:lang w:val="en-US"/>
              </w:rPr>
            </w:pPr>
            <w:r>
              <w:rPr>
                <w:rFonts w:ascii="Verdana" w:hAnsi="Verdana" w:cs="Courier New"/>
                <w:sz w:val="14"/>
                <w:lang w:val="en-US"/>
              </w:rPr>
              <w:t>m</w:t>
            </w:r>
            <w:r w:rsidR="00810888">
              <w:rPr>
                <w:rFonts w:ascii="Verdana" w:hAnsi="Verdana" w:cs="Courier New"/>
                <w:sz w:val="14"/>
                <w:lang w:val="en-US"/>
              </w:rPr>
              <w:t xml:space="preserve">sg = “”, </w:t>
            </w:r>
            <w:proofErr w:type="spellStart"/>
            <w:r w:rsidR="00810888">
              <w:rPr>
                <w:rFonts w:ascii="Verdana" w:hAnsi="Verdana" w:cs="Courier New"/>
                <w:sz w:val="14"/>
                <w:lang w:val="en-US"/>
              </w:rPr>
              <w:t>cmd_idx</w:t>
            </w:r>
            <w:proofErr w:type="spellEnd"/>
            <w:r w:rsidR="00810888">
              <w:rPr>
                <w:rFonts w:ascii="Verdana" w:hAnsi="Verdana" w:cs="Courier New"/>
                <w:sz w:val="14"/>
                <w:lang w:val="en-US"/>
              </w:rPr>
              <w:t xml:space="preserve"> = -1</w:t>
            </w:r>
          </w:p>
        </w:tc>
        <w:tc>
          <w:tcPr>
            <w:tcW w:w="3034" w:type="pct"/>
            <w:shd w:val="clear" w:color="auto" w:fill="auto"/>
          </w:tcPr>
          <w:p w14:paraId="434238A1" w14:textId="3490D4AC" w:rsidR="00810888" w:rsidRDefault="00810888" w:rsidP="00DE1CD3">
            <w:pPr>
              <w:tabs>
                <w:tab w:val="left" w:pos="4820"/>
              </w:tabs>
              <w:spacing w:before="20" w:after="20" w:line="20" w:lineRule="atLeast"/>
              <w:rPr>
                <w:rFonts w:ascii="Verdana" w:hAnsi="Verdana" w:cs="Courier New"/>
                <w:sz w:val="14"/>
                <w:lang w:val="en-US"/>
              </w:rPr>
            </w:pPr>
            <w:r>
              <w:rPr>
                <w:rFonts w:ascii="Verdana" w:hAnsi="Verdana" w:cs="Courier New"/>
                <w:sz w:val="14"/>
                <w:lang w:val="en-US"/>
              </w:rPr>
              <w:t>Information essential to VVCs</w:t>
            </w:r>
            <w:r>
              <w:rPr>
                <w:rFonts w:ascii="Verdana" w:hAnsi="Verdana" w:cs="Courier New"/>
                <w:sz w:val="14"/>
                <w:lang w:val="en-US"/>
              </w:rPr>
              <w:t xml:space="preserve">. In a monitor these fields will always have default values: msg </w:t>
            </w:r>
            <w:proofErr w:type="gramStart"/>
            <w:r>
              <w:rPr>
                <w:rFonts w:ascii="Verdana" w:hAnsi="Verdana" w:cs="Courier New"/>
                <w:sz w:val="14"/>
                <w:lang w:val="en-US"/>
              </w:rPr>
              <w:t>= ”</w:t>
            </w:r>
            <w:proofErr w:type="gramEnd"/>
            <w:r>
              <w:rPr>
                <w:rFonts w:ascii="Verdana" w:hAnsi="Verdana" w:cs="Courier New"/>
                <w:sz w:val="14"/>
                <w:lang w:val="en-US"/>
              </w:rPr>
              <w:t xml:space="preserve">” and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810888" w:rsidRPr="00CB1452" w14:paraId="64F80238" w14:textId="77777777" w:rsidTr="00810888">
        <w:tc>
          <w:tcPr>
            <w:tcW w:w="539" w:type="pct"/>
            <w:shd w:val="clear" w:color="auto" w:fill="D0CECE" w:themeFill="background2" w:themeFillShade="E6"/>
          </w:tcPr>
          <w:p w14:paraId="724D0EE5" w14:textId="77777777" w:rsidR="00810888" w:rsidRDefault="00810888" w:rsidP="00DE1CD3">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76" w:type="pct"/>
            <w:shd w:val="clear" w:color="auto" w:fill="D0CECE" w:themeFill="background2" w:themeFillShade="E6"/>
          </w:tcPr>
          <w:p w14:paraId="114152B7" w14:textId="77777777" w:rsidR="00810888" w:rsidRDefault="00810888" w:rsidP="00DE1CD3">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851" w:type="pct"/>
            <w:shd w:val="clear" w:color="auto" w:fill="D0CECE" w:themeFill="background2" w:themeFillShade="E6"/>
          </w:tcPr>
          <w:p w14:paraId="52CDBD1B" w14:textId="4BB5DE67" w:rsidR="00810888" w:rsidRDefault="00810888" w:rsidP="00DE1CD3">
            <w:pPr>
              <w:tabs>
                <w:tab w:val="left" w:pos="4820"/>
              </w:tabs>
              <w:spacing w:before="20" w:after="20" w:line="20" w:lineRule="atLeast"/>
              <w:rPr>
                <w:rFonts w:ascii="Verdana" w:hAnsi="Verdana" w:cs="Courier New"/>
                <w:sz w:val="14"/>
                <w:lang w:val="en-US"/>
              </w:rPr>
            </w:pPr>
            <w:r>
              <w:rPr>
                <w:rFonts w:ascii="Verdana" w:hAnsi="Verdana" w:cs="Courier New"/>
                <w:sz w:val="14"/>
                <w:lang w:val="en-US"/>
              </w:rPr>
              <w:t>false</w:t>
            </w:r>
          </w:p>
        </w:tc>
        <w:tc>
          <w:tcPr>
            <w:tcW w:w="3034" w:type="pct"/>
            <w:shd w:val="clear" w:color="auto" w:fill="D0CECE" w:themeFill="background2" w:themeFillShade="E6"/>
          </w:tcPr>
          <w:p w14:paraId="120F0323" w14:textId="1283512C" w:rsidR="00810888" w:rsidRPr="006A72DF" w:rsidRDefault="00810888" w:rsidP="00DE1CD3">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implemented in a DUT access, e.g. parity error</w:t>
            </w:r>
          </w:p>
        </w:tc>
      </w:tr>
    </w:tbl>
    <w:p w14:paraId="14E984E1" w14:textId="11683769" w:rsidR="00CE034F" w:rsidRDefault="00F449DA">
      <w:pPr>
        <w:rPr>
          <w:rFonts w:ascii="Verdana" w:hAnsi="Verdana"/>
          <w:b/>
          <w:kern w:val="28"/>
          <w:sz w:val="24"/>
        </w:rPr>
      </w:pPr>
      <w:r>
        <w:rPr>
          <w:noProof/>
        </w:rPr>
        <mc:AlternateContent>
          <mc:Choice Requires="wps">
            <w:drawing>
              <wp:anchor distT="45720" distB="45720" distL="114300" distR="114300" simplePos="0" relativeHeight="251667968" behindDoc="1" locked="0" layoutInCell="1" allowOverlap="1" wp14:anchorId="662284EB" wp14:editId="39E459AF">
                <wp:simplePos x="0" y="0"/>
                <wp:positionH relativeFrom="margin">
                  <wp:align>right</wp:align>
                </wp:positionH>
                <wp:positionV relativeFrom="paragraph">
                  <wp:posOffset>4133215</wp:posOffset>
                </wp:positionV>
                <wp:extent cx="9610090" cy="401955"/>
                <wp:effectExtent l="0" t="0" r="0" b="0"/>
                <wp:wrapTight wrapText="bothSides">
                  <wp:wrapPolygon edited="0">
                    <wp:start x="0" y="0"/>
                    <wp:lineTo x="0" y="20474"/>
                    <wp:lineTo x="21537" y="20474"/>
                    <wp:lineTo x="21537" y="0"/>
                    <wp:lineTo x="0" y="0"/>
                  </wp:wrapPolygon>
                </wp:wrapTight>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0090" cy="401955"/>
                        </a:xfrm>
                        <a:prstGeom prst="rect">
                          <a:avLst/>
                        </a:prstGeom>
                        <a:solidFill>
                          <a:srgbClr val="FFFFFF"/>
                        </a:solidFill>
                        <a:ln w="9525">
                          <a:noFill/>
                          <a:miter lim="800000"/>
                          <a:headEnd/>
                          <a:tailEnd/>
                        </a:ln>
                      </wps:spPr>
                      <wps:txbx>
                        <w:txbxContent>
                          <w:p w14:paraId="13BD99C0" w14:textId="533B59F3" w:rsidR="00FE5A80" w:rsidRDefault="00FE5A80" w:rsidP="00F449DA">
                            <w:pPr>
                              <w:rPr>
                                <w:lang w:val="en-US"/>
                              </w:rPr>
                            </w:pPr>
                            <w:r w:rsidRPr="00E34337">
                              <w:rPr>
                                <w:lang w:val="en-US"/>
                              </w:rPr>
                              <w:t xml:space="preserve">Note 1: the VVC </w:t>
                            </w:r>
                            <w:r>
                              <w:rPr>
                                <w:lang w:val="en-US"/>
                              </w:rPr>
                              <w:t xml:space="preserve">do not know the success of </w:t>
                            </w:r>
                            <w:r w:rsidRPr="00E34337">
                              <w:rPr>
                                <w:lang w:val="en-US"/>
                              </w:rPr>
                              <w:t>a</w:t>
                            </w:r>
                            <w:r>
                              <w:rPr>
                                <w:lang w:val="en-US"/>
                              </w:rPr>
                              <w:t xml:space="preserve"> BFM accessing a DUT, thus the VVC can only report its intended transaction details.</w:t>
                            </w:r>
                          </w:p>
                          <w:p w14:paraId="089695FC" w14:textId="09300F0A" w:rsidR="00F449DA" w:rsidRPr="00E34337" w:rsidRDefault="00F449DA" w:rsidP="00F449DA">
                            <w:pPr>
                              <w:rPr>
                                <w:lang w:val="en-US"/>
                              </w:rPr>
                            </w:pPr>
                            <w:r w:rsidRPr="00E34337">
                              <w:rPr>
                                <w:lang w:val="en-US"/>
                              </w:rPr>
                              <w:t xml:space="preserve">Note </w:t>
                            </w:r>
                            <w:r w:rsidR="00FE5A80">
                              <w:rPr>
                                <w:lang w:val="en-US"/>
                              </w:rPr>
                              <w:t>2</w:t>
                            </w:r>
                            <w:r w:rsidRPr="00E34337">
                              <w:rPr>
                                <w:lang w:val="en-US"/>
                              </w:rPr>
                              <w:t xml:space="preserve">: </w:t>
                            </w:r>
                            <w:r w:rsidR="007755DC">
                              <w:rPr>
                                <w:lang w:val="en-US"/>
                              </w:rPr>
                              <w:t>T</w:t>
                            </w:r>
                            <w:r w:rsidRPr="00E34337">
                              <w:rPr>
                                <w:lang w:val="en-US"/>
                              </w:rPr>
                              <w:t xml:space="preserve">he </w:t>
                            </w:r>
                            <w:r>
                              <w:rPr>
                                <w:lang w:val="en-US"/>
                              </w:rPr>
                              <w:t xml:space="preserve">Monitor know the success of a DUT transaction, thus it can set the </w:t>
                            </w:r>
                            <w:proofErr w:type="spellStart"/>
                            <w:r w:rsidRPr="00F449DA">
                              <w:rPr>
                                <w:rFonts w:ascii="Consolas" w:hAnsi="Consolas"/>
                                <w:lang w:val="en-US"/>
                              </w:rPr>
                              <w:t>transaction_validity</w:t>
                            </w:r>
                            <w:proofErr w:type="spellEnd"/>
                            <w:r>
                              <w:rPr>
                                <w:lang w:val="en-US"/>
                              </w:rPr>
                              <w:t xml:space="preserve"> to VALID or INVALID.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284EB" id="_x0000_t202" coordsize="21600,21600" o:spt="202" path="m,l,21600r21600,l21600,xe">
                <v:stroke joinstyle="miter"/>
                <v:path gradientshapeok="t" o:connecttype="rect"/>
              </v:shapetype>
              <v:shape id="Tekstboks 2" o:spid="_x0000_s1026" type="#_x0000_t202" style="position:absolute;margin-left:705.5pt;margin-top:325.45pt;width:756.7pt;height:31.65pt;z-index:-251648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" stroked="f">
                <v:textbox>
                  <w:txbxContent>
                    <w:p w14:paraId="13BD99C0" w14:textId="533B59F3" w:rsidR="00FE5A80" w:rsidRDefault="00FE5A80" w:rsidP="00F449DA">
                      <w:pPr>
                        <w:rPr>
                          <w:lang w:val="en-US"/>
                        </w:rPr>
                      </w:pPr>
                      <w:r w:rsidRPr="00E34337">
                        <w:rPr>
                          <w:lang w:val="en-US"/>
                        </w:rPr>
                        <w:t xml:space="preserve">Note 1: the VVC </w:t>
                      </w:r>
                      <w:r>
                        <w:rPr>
                          <w:lang w:val="en-US"/>
                        </w:rPr>
                        <w:t xml:space="preserve">do not know the success of </w:t>
                      </w:r>
                      <w:r w:rsidRPr="00E34337">
                        <w:rPr>
                          <w:lang w:val="en-US"/>
                        </w:rPr>
                        <w:t>a</w:t>
                      </w:r>
                      <w:r>
                        <w:rPr>
                          <w:lang w:val="en-US"/>
                        </w:rPr>
                        <w:t xml:space="preserve"> BFM accessing a DUT, thus the VVC can only report its intended transaction details.</w:t>
                      </w:r>
                    </w:p>
                    <w:p w14:paraId="089695FC" w14:textId="09300F0A" w:rsidR="00F449DA" w:rsidRPr="00E34337" w:rsidRDefault="00F449DA" w:rsidP="00F449DA">
                      <w:pPr>
                        <w:rPr>
                          <w:lang w:val="en-US"/>
                        </w:rPr>
                      </w:pPr>
                      <w:r w:rsidRPr="00E34337">
                        <w:rPr>
                          <w:lang w:val="en-US"/>
                        </w:rPr>
                        <w:t xml:space="preserve">Note </w:t>
                      </w:r>
                      <w:r w:rsidR="00FE5A80">
                        <w:rPr>
                          <w:lang w:val="en-US"/>
                        </w:rPr>
                        <w:t>2</w:t>
                      </w:r>
                      <w:r w:rsidRPr="00E34337">
                        <w:rPr>
                          <w:lang w:val="en-US"/>
                        </w:rPr>
                        <w:t xml:space="preserve">: </w:t>
                      </w:r>
                      <w:r w:rsidR="007755DC">
                        <w:rPr>
                          <w:lang w:val="en-US"/>
                        </w:rPr>
                        <w:t>T</w:t>
                      </w:r>
                      <w:r w:rsidRPr="00E34337">
                        <w:rPr>
                          <w:lang w:val="en-US"/>
                        </w:rPr>
                        <w:t xml:space="preserve">he </w:t>
                      </w:r>
                      <w:r>
                        <w:rPr>
                          <w:lang w:val="en-US"/>
                        </w:rPr>
                        <w:t xml:space="preserve">Monitor know the success of a DUT transaction, thus it can set the </w:t>
                      </w:r>
                      <w:proofErr w:type="spellStart"/>
                      <w:r w:rsidRPr="00F449DA">
                        <w:rPr>
                          <w:rFonts w:ascii="Consolas" w:hAnsi="Consolas"/>
                          <w:lang w:val="en-US"/>
                        </w:rPr>
                        <w:t>transaction_validity</w:t>
                      </w:r>
                      <w:proofErr w:type="spellEnd"/>
                      <w:r>
                        <w:rPr>
                          <w:lang w:val="en-US"/>
                        </w:rPr>
                        <w:t xml:space="preserve"> to VALID or INVALID.</w:t>
                      </w:r>
                    </w:p>
                  </w:txbxContent>
                </v:textbox>
                <w10:wrap type="tight" anchorx="margin"/>
              </v:shape>
            </w:pict>
          </mc:Fallback>
        </mc:AlternateContent>
      </w:r>
      <w:r w:rsidR="00CE034F">
        <w:br w:type="page"/>
      </w:r>
    </w:p>
    <w:p w14:paraId="542FA91C" w14:textId="3388747C" w:rsidR="00D73B26" w:rsidRDefault="007301BE" w:rsidP="007301BE">
      <w:pPr>
        <w:pStyle w:val="Overskrift1"/>
      </w:pPr>
      <w:r>
        <w:lastRenderedPageBreak/>
        <w:t>Multiple Central Sequencers</w:t>
      </w:r>
      <w:bookmarkEnd w:id="14"/>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15" w:name="_Toc17306318"/>
      <w:r>
        <w:t>Compile scripts</w:t>
      </w:r>
      <w:bookmarkEnd w:id="15"/>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16" w:name="_Toc17306319"/>
      <w:r>
        <w:rPr>
          <w:lang w:val="en-US"/>
        </w:rPr>
        <w:t>Scope of verbosity control</w:t>
      </w:r>
      <w:bookmarkEnd w:id="16"/>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7"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fl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XW79vp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aFF+V8AgAAYQUA&#10;AA4AAAAAAAAAAAAAAAAALgIAAGRycy9lMm9Eb2MueG1sUEsBAi0AFAAGAAgAAAAhAG7HhCrdAAAA&#10;CgEAAA8AAAAAAAAAAAAAAAAA1gQAAGRycy9kb3ducmV2LnhtbFBLBQYAAAAABAAEAPMAAADgBQAA&#10;AAA=&#10;" filled="f" stroked="f">
                <v:textbo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BF45wXsCAABgBQAA&#10;DgAAAAAAAAAAAAAAAAAuAgAAZHJzL2Uyb0RvYy54bWxQSwECLQAUAAYACAAAACEAT4m7Zd0AAAAJ&#10;AQAADwAAAAAAAAAAAAAAAADVBAAAZHJzL2Rvd25yZXYueG1sUEsFBgAAAAAEAAQA8wAAAN8FAAAA&#10;AA==&#10;" filled="f" stroked="f">
                <v:textbo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573AB" w14:textId="77777777" w:rsidR="004F700E" w:rsidRPr="009F58C4" w:rsidRDefault="004F700E">
      <w:pPr>
        <w:rPr>
          <w:rFonts w:ascii="Arial" w:hAnsi="Arial" w:cs="Arial"/>
          <w:lang w:val="sq-AL"/>
        </w:rPr>
      </w:pPr>
      <w:r w:rsidRPr="009F58C4">
        <w:rPr>
          <w:rFonts w:ascii="Arial" w:hAnsi="Arial" w:cs="Arial"/>
          <w:lang w:val="sq-AL"/>
        </w:rPr>
        <w:separator/>
      </w:r>
    </w:p>
  </w:endnote>
  <w:endnote w:type="continuationSeparator" w:id="0">
    <w:p w14:paraId="732D366D" w14:textId="77777777" w:rsidR="004F700E" w:rsidRPr="009F58C4" w:rsidRDefault="004F700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352FA" w:rsidRDefault="008352F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352FA" w:rsidRDefault="008352F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77777777" w:rsidR="004A566E" w:rsidRPr="00FA2638" w:rsidRDefault="004A566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352FA" w:rsidRPr="005F77A4" w14:paraId="35168E3E" w14:textId="77777777" w:rsidTr="003C4A1B">
      <w:trPr>
        <w:trHeight w:val="214"/>
        <w:jc w:val="center"/>
      </w:trPr>
      <w:tc>
        <w:tcPr>
          <w:tcW w:w="4678" w:type="dxa"/>
          <w:vAlign w:val="center"/>
        </w:tcPr>
        <w:p w14:paraId="78424532" w14:textId="55397797" w:rsidR="008352FA" w:rsidRPr="00493329" w:rsidRDefault="008352F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003C4A1B">
            <w:rPr>
              <w:rFonts w:ascii="Helvetica" w:hAnsi="Helvetica" w:cs="Arial"/>
              <w:b/>
              <w:color w:val="1381C4"/>
              <w:sz w:val="14"/>
              <w:lang w:val="sq-AL"/>
            </w:rPr>
            <w:t xml:space="preserve"> and Mechanisms</w:t>
          </w:r>
          <w:r w:rsidRPr="00493329">
            <w:rPr>
              <w:rFonts w:ascii="Helvetica" w:hAnsi="Helvetica" w:cs="Arial"/>
              <w:color w:val="1381C4"/>
              <w:sz w:val="14"/>
              <w:lang w:val="sq-AL"/>
            </w:rPr>
            <w:t xml:space="preserve"> - Quick Reference</w:t>
          </w:r>
        </w:p>
      </w:tc>
      <w:tc>
        <w:tcPr>
          <w:tcW w:w="3159" w:type="dxa"/>
          <w:vAlign w:val="center"/>
        </w:tcPr>
        <w:p w14:paraId="216579DD" w14:textId="4A9D0DF3" w:rsidR="008352FA" w:rsidRPr="00493329" w:rsidRDefault="008352F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ED455A">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F77A4">
            <w:rPr>
              <w:rFonts w:ascii="Helvetica" w:hAnsi="Helvetica" w:cs="Arial"/>
              <w:noProof/>
              <w:color w:val="1381C4"/>
              <w:sz w:val="14"/>
              <w:lang w:val="en-US"/>
            </w:rPr>
            <w:t>2019-08-21</w:t>
          </w:r>
          <w:r>
            <w:rPr>
              <w:rFonts w:ascii="Helvetica" w:hAnsi="Helvetica" w:cs="Arial"/>
              <w:color w:val="1381C4"/>
              <w:sz w:val="14"/>
              <w:lang w:val="sq-AL"/>
            </w:rPr>
            <w:fldChar w:fldCharType="end"/>
          </w:r>
        </w:p>
      </w:tc>
      <w:tc>
        <w:tcPr>
          <w:tcW w:w="3929" w:type="dxa"/>
          <w:vAlign w:val="center"/>
        </w:tcPr>
        <w:p w14:paraId="4D00DFF0" w14:textId="5E63FBF4" w:rsidR="008352FA" w:rsidRPr="00493329" w:rsidRDefault="002D316F" w:rsidP="00615DBA">
          <w:pPr>
            <w:pStyle w:val="Bunntekst"/>
            <w:tabs>
              <w:tab w:val="clear" w:pos="4153"/>
              <w:tab w:val="clear" w:pos="8306"/>
            </w:tabs>
            <w:spacing w:line="276" w:lineRule="auto"/>
            <w:rPr>
              <w:rFonts w:ascii="Helvetica" w:hAnsi="Helvetica"/>
              <w:color w:val="0000FF"/>
              <w:u w:val="single"/>
              <w:lang w:val="sq-AL"/>
            </w:rPr>
          </w:pPr>
          <w:hyperlink r:id="rId1" w:history="1">
            <w:r w:rsidR="008352FA" w:rsidRPr="00493329">
              <w:rPr>
                <w:rStyle w:val="Hyperkobling"/>
                <w:rFonts w:cs="Arial"/>
                <w:color w:val="1381C4"/>
                <w:sz w:val="14"/>
                <w:lang w:val="sq-AL"/>
              </w:rPr>
              <w:t>support@bitvis.no</w:t>
            </w:r>
          </w:hyperlink>
          <w:r w:rsidR="008352FA" w:rsidRPr="00493329">
            <w:rPr>
              <w:rFonts w:ascii="Helvetica" w:hAnsi="Helvetica" w:cs="Arial"/>
              <w:color w:val="1381C4"/>
              <w:sz w:val="14"/>
              <w:lang w:val="sq-AL"/>
            </w:rPr>
            <w:t xml:space="preserve">   +47 66 98 87 59   </w:t>
          </w:r>
          <w:r w:rsidR="008352FA" w:rsidRPr="00493329">
            <w:rPr>
              <w:rFonts w:ascii="Helvetica" w:hAnsi="Helvetica" w:cs="Arial"/>
              <w:color w:val="1381C4"/>
              <w:sz w:val="14"/>
              <w:u w:val="single"/>
              <w:lang w:val="sq-AL"/>
            </w:rPr>
            <w:t>www.bitvis.no</w:t>
          </w:r>
          <w:r w:rsidR="008352FA" w:rsidRPr="00493329">
            <w:rPr>
              <w:rStyle w:val="Hyperkobling"/>
              <w:rFonts w:cs="Arial"/>
              <w:color w:val="1381C4"/>
              <w:sz w:val="14"/>
              <w:lang w:val="sq-AL"/>
            </w:rPr>
            <w:t xml:space="preserve"> </w:t>
          </w:r>
        </w:p>
      </w:tc>
      <w:tc>
        <w:tcPr>
          <w:tcW w:w="3409" w:type="dxa"/>
          <w:vAlign w:val="center"/>
        </w:tcPr>
        <w:p w14:paraId="359BCD0F" w14:textId="67490470" w:rsidR="008352FA" w:rsidRPr="00493329" w:rsidRDefault="008352F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352FA" w:rsidRPr="00FB1499" w:rsidRDefault="008352F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8352FA" w:rsidRPr="003354AD" w:rsidRDefault="008352F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7301BE">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8352FA" w:rsidRDefault="008352F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8AAC6" w14:textId="77777777" w:rsidR="004F700E" w:rsidRPr="009F58C4" w:rsidRDefault="004F700E">
      <w:pPr>
        <w:rPr>
          <w:rFonts w:ascii="Arial" w:hAnsi="Arial" w:cs="Arial"/>
          <w:lang w:val="sq-AL"/>
        </w:rPr>
      </w:pPr>
      <w:r w:rsidRPr="009F58C4">
        <w:rPr>
          <w:rFonts w:ascii="Arial" w:hAnsi="Arial" w:cs="Arial"/>
          <w:lang w:val="sq-AL"/>
        </w:rPr>
        <w:separator/>
      </w:r>
    </w:p>
  </w:footnote>
  <w:footnote w:type="continuationSeparator" w:id="0">
    <w:p w14:paraId="382BD997" w14:textId="77777777" w:rsidR="004F700E" w:rsidRPr="009F58C4" w:rsidRDefault="004F700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352FA" w:rsidRDefault="008352F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352FA" w:rsidRDefault="008352F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352FA" w:rsidRDefault="00835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11"/>
  </w:num>
  <w:num w:numId="4">
    <w:abstractNumId w:val="20"/>
  </w:num>
  <w:num w:numId="5">
    <w:abstractNumId w:val="34"/>
  </w:num>
  <w:num w:numId="6">
    <w:abstractNumId w:val="22"/>
  </w:num>
  <w:num w:numId="7">
    <w:abstractNumId w:val="13"/>
  </w:num>
  <w:num w:numId="8">
    <w:abstractNumId w:val="38"/>
  </w:num>
  <w:num w:numId="9">
    <w:abstractNumId w:val="31"/>
  </w:num>
  <w:num w:numId="10">
    <w:abstractNumId w:val="9"/>
  </w:num>
  <w:num w:numId="11">
    <w:abstractNumId w:val="1"/>
  </w:num>
  <w:num w:numId="12">
    <w:abstractNumId w:val="43"/>
  </w:num>
  <w:num w:numId="13">
    <w:abstractNumId w:val="10"/>
  </w:num>
  <w:num w:numId="14">
    <w:abstractNumId w:val="24"/>
  </w:num>
  <w:num w:numId="15">
    <w:abstractNumId w:val="26"/>
  </w:num>
  <w:num w:numId="16">
    <w:abstractNumId w:val="33"/>
  </w:num>
  <w:num w:numId="17">
    <w:abstractNumId w:val="18"/>
  </w:num>
  <w:num w:numId="18">
    <w:abstractNumId w:val="2"/>
  </w:num>
  <w:num w:numId="19">
    <w:abstractNumId w:val="40"/>
  </w:num>
  <w:num w:numId="20">
    <w:abstractNumId w:val="6"/>
  </w:num>
  <w:num w:numId="21">
    <w:abstractNumId w:val="41"/>
  </w:num>
  <w:num w:numId="22">
    <w:abstractNumId w:val="15"/>
  </w:num>
  <w:num w:numId="23">
    <w:abstractNumId w:val="46"/>
  </w:num>
  <w:num w:numId="24">
    <w:abstractNumId w:val="42"/>
  </w:num>
  <w:num w:numId="25">
    <w:abstractNumId w:val="19"/>
  </w:num>
  <w:num w:numId="26">
    <w:abstractNumId w:val="45"/>
  </w:num>
  <w:num w:numId="27">
    <w:abstractNumId w:val="14"/>
  </w:num>
  <w:num w:numId="28">
    <w:abstractNumId w:val="27"/>
  </w:num>
  <w:num w:numId="29">
    <w:abstractNumId w:val="12"/>
  </w:num>
  <w:num w:numId="30">
    <w:abstractNumId w:val="32"/>
  </w:num>
  <w:num w:numId="31">
    <w:abstractNumId w:val="30"/>
  </w:num>
  <w:num w:numId="32">
    <w:abstractNumId w:val="17"/>
  </w:num>
  <w:num w:numId="33">
    <w:abstractNumId w:val="47"/>
  </w:num>
  <w:num w:numId="34">
    <w:abstractNumId w:val="48"/>
  </w:num>
  <w:num w:numId="35">
    <w:abstractNumId w:val="7"/>
  </w:num>
  <w:num w:numId="36">
    <w:abstractNumId w:val="25"/>
  </w:num>
  <w:num w:numId="37">
    <w:abstractNumId w:val="36"/>
  </w:num>
  <w:num w:numId="38">
    <w:abstractNumId w:val="21"/>
  </w:num>
  <w:num w:numId="39">
    <w:abstractNumId w:val="16"/>
  </w:num>
  <w:num w:numId="40">
    <w:abstractNumId w:val="3"/>
  </w:num>
  <w:num w:numId="41">
    <w:abstractNumId w:val="29"/>
  </w:num>
  <w:num w:numId="42">
    <w:abstractNumId w:val="39"/>
  </w:num>
  <w:num w:numId="43">
    <w:abstractNumId w:val="8"/>
  </w:num>
  <w:num w:numId="44">
    <w:abstractNumId w:val="23"/>
  </w:num>
  <w:num w:numId="45">
    <w:abstractNumId w:val="28"/>
  </w:num>
  <w:num w:numId="46">
    <w:abstractNumId w:val="37"/>
  </w:num>
  <w:num w:numId="47">
    <w:abstractNumId w:val="5"/>
  </w:num>
  <w:num w:numId="48">
    <w:abstractNumId w:val="35"/>
  </w:num>
  <w:num w:numId="4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20C03"/>
    <w:rsid w:val="001223FB"/>
    <w:rsid w:val="00122BE8"/>
    <w:rsid w:val="00123B3A"/>
    <w:rsid w:val="00125AB4"/>
    <w:rsid w:val="00125DE6"/>
    <w:rsid w:val="0012657E"/>
    <w:rsid w:val="001302EC"/>
    <w:rsid w:val="00130FAC"/>
    <w:rsid w:val="00133FC4"/>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40A8"/>
    <w:rsid w:val="001F64A7"/>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4BA"/>
    <w:rsid w:val="00220780"/>
    <w:rsid w:val="00221B24"/>
    <w:rsid w:val="0022238D"/>
    <w:rsid w:val="002229D8"/>
    <w:rsid w:val="002241C2"/>
    <w:rsid w:val="00225726"/>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2003"/>
    <w:rsid w:val="00392313"/>
    <w:rsid w:val="00395D3C"/>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4A1B"/>
    <w:rsid w:val="003C548A"/>
    <w:rsid w:val="003C56FC"/>
    <w:rsid w:val="003C728A"/>
    <w:rsid w:val="003D1878"/>
    <w:rsid w:val="003D2F27"/>
    <w:rsid w:val="003D461F"/>
    <w:rsid w:val="003D4FFD"/>
    <w:rsid w:val="003D64B2"/>
    <w:rsid w:val="003E1493"/>
    <w:rsid w:val="003E16E5"/>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56D7"/>
    <w:rsid w:val="00565B94"/>
    <w:rsid w:val="00565B9A"/>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1A0E"/>
    <w:rsid w:val="005F2674"/>
    <w:rsid w:val="005F391C"/>
    <w:rsid w:val="005F4377"/>
    <w:rsid w:val="005F5943"/>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55A8"/>
    <w:rsid w:val="00666072"/>
    <w:rsid w:val="006665E1"/>
    <w:rsid w:val="00666C39"/>
    <w:rsid w:val="00667393"/>
    <w:rsid w:val="00672117"/>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69C"/>
    <w:rsid w:val="00701F2D"/>
    <w:rsid w:val="00702DA3"/>
    <w:rsid w:val="00704F58"/>
    <w:rsid w:val="00707DE3"/>
    <w:rsid w:val="00707E80"/>
    <w:rsid w:val="00712243"/>
    <w:rsid w:val="00713114"/>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5076"/>
    <w:rsid w:val="007755DC"/>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6EA5"/>
    <w:rsid w:val="007C74C4"/>
    <w:rsid w:val="007D009A"/>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6147"/>
    <w:rsid w:val="0080652D"/>
    <w:rsid w:val="00807FF2"/>
    <w:rsid w:val="00810888"/>
    <w:rsid w:val="00811B27"/>
    <w:rsid w:val="00812161"/>
    <w:rsid w:val="0081525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3F8"/>
    <w:rsid w:val="00861083"/>
    <w:rsid w:val="008625FF"/>
    <w:rsid w:val="0086307A"/>
    <w:rsid w:val="008634EE"/>
    <w:rsid w:val="008652F3"/>
    <w:rsid w:val="00870491"/>
    <w:rsid w:val="00871A34"/>
    <w:rsid w:val="008722EE"/>
    <w:rsid w:val="00872C9B"/>
    <w:rsid w:val="00872FCE"/>
    <w:rsid w:val="00874873"/>
    <w:rsid w:val="008755B0"/>
    <w:rsid w:val="00877E2F"/>
    <w:rsid w:val="00884CA8"/>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49AF"/>
    <w:rsid w:val="009663C6"/>
    <w:rsid w:val="00966C89"/>
    <w:rsid w:val="0096773D"/>
    <w:rsid w:val="00967848"/>
    <w:rsid w:val="00970359"/>
    <w:rsid w:val="00970D80"/>
    <w:rsid w:val="00971126"/>
    <w:rsid w:val="009727B9"/>
    <w:rsid w:val="00973D67"/>
    <w:rsid w:val="009742C3"/>
    <w:rsid w:val="00975A24"/>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45FB"/>
    <w:rsid w:val="00AC7457"/>
    <w:rsid w:val="00AD0DCE"/>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92A"/>
    <w:rsid w:val="00B6796E"/>
    <w:rsid w:val="00B70193"/>
    <w:rsid w:val="00B701AB"/>
    <w:rsid w:val="00B711F4"/>
    <w:rsid w:val="00B72056"/>
    <w:rsid w:val="00B729A8"/>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59F1"/>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5D4B"/>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034F"/>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5D42"/>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46E4"/>
    <w:rsid w:val="00D64A4F"/>
    <w:rsid w:val="00D6605A"/>
    <w:rsid w:val="00D669D3"/>
    <w:rsid w:val="00D73B26"/>
    <w:rsid w:val="00D74DC5"/>
    <w:rsid w:val="00D76A7B"/>
    <w:rsid w:val="00D77EB9"/>
    <w:rsid w:val="00D811AB"/>
    <w:rsid w:val="00D845C3"/>
    <w:rsid w:val="00D8473F"/>
    <w:rsid w:val="00D87475"/>
    <w:rsid w:val="00D90159"/>
    <w:rsid w:val="00D913B9"/>
    <w:rsid w:val="00D93383"/>
    <w:rsid w:val="00D93BAF"/>
    <w:rsid w:val="00D9524C"/>
    <w:rsid w:val="00D95648"/>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1CD3"/>
    <w:rsid w:val="00DE2FE1"/>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4494"/>
    <w:rsid w:val="00E74509"/>
    <w:rsid w:val="00E74929"/>
    <w:rsid w:val="00E751A6"/>
    <w:rsid w:val="00E85186"/>
    <w:rsid w:val="00E85D84"/>
    <w:rsid w:val="00E86489"/>
    <w:rsid w:val="00E868D2"/>
    <w:rsid w:val="00E900C9"/>
    <w:rsid w:val="00E92D3B"/>
    <w:rsid w:val="00E9348B"/>
    <w:rsid w:val="00E93623"/>
    <w:rsid w:val="00E9484E"/>
    <w:rsid w:val="00E94FB1"/>
    <w:rsid w:val="00E959C4"/>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E94"/>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6446C-E87F-46F3-A624-89782BCA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2120</Words>
  <Characters>11237</Characters>
  <Application>Microsoft Office Word</Application>
  <DocSecurity>0</DocSecurity>
  <Lines>93</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13331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2018-03-23T07:41:00Z</dcterms:created>
  <dcterms:modified xsi:type="dcterms:W3CDTF">2019-08-21T17:14:00Z</dcterms:modified>
</cp:coreProperties>
</file>