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AD0C2" w14:textId="0EE5E1D4" w:rsidR="006C7DE6" w:rsidRPr="004A74EC" w:rsidRDefault="00000000">
      <w:pPr>
        <w:pStyle w:val="Heading1"/>
        <w:rPr>
          <w:rFonts w:ascii="Proxima Nova Alt ExCn Rg" w:hAnsi="Proxima Nova Alt ExCn Rg"/>
          <w:b w:val="0"/>
          <w:bCs w:val="0"/>
          <w:color w:val="000000" w:themeColor="text1"/>
        </w:rPr>
      </w:pPr>
      <w:proofErr w:type="spellStart"/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TitleGenie</w:t>
      </w:r>
      <w:proofErr w:type="spellEnd"/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 xml:space="preserve"> LLC Agreement — </w:t>
      </w:r>
      <w:r w:rsidR="00CB1D09">
        <w:rPr>
          <w:rFonts w:ascii="Proxima Nova Alt ExCn Rg" w:hAnsi="Proxima Nova Alt ExCn Rg"/>
          <w:b w:val="0"/>
          <w:bCs w:val="0"/>
          <w:color w:val="000000" w:themeColor="text1"/>
        </w:rPr>
        <w:t>thoughts and feedback</w:t>
      </w:r>
    </w:p>
    <w:p w14:paraId="4FE77DE3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Key Updates Incorporated</w:t>
      </w:r>
    </w:p>
    <w:p w14:paraId="7ED55E61" w14:textId="5DB043EF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• Temporary 50% sales allocation with required 90-day review.</w:t>
      </w:r>
      <w:r w:rsidRPr="004A74EC">
        <w:rPr>
          <w:rFonts w:ascii="Proxima Nova Alt ExCn Rg" w:hAnsi="Proxima Nova Alt ExCn Rg"/>
          <w:color w:val="000000" w:themeColor="text1"/>
        </w:rPr>
        <w:br/>
        <w:t xml:space="preserve">• Milestone-triggered formation of new </w:t>
      </w:r>
      <w:proofErr w:type="spellStart"/>
      <w:r w:rsidRPr="004A74EC">
        <w:rPr>
          <w:rFonts w:ascii="Proxima Nova Alt ExCn Rg" w:hAnsi="Proxima Nova Alt ExCn Rg"/>
          <w:color w:val="000000" w:themeColor="text1"/>
        </w:rPr>
        <w:t>TitleGenie</w:t>
      </w:r>
      <w:proofErr w:type="spellEnd"/>
      <w:r w:rsidRPr="004A74EC">
        <w:rPr>
          <w:rFonts w:ascii="Proxima Nova Alt ExCn Rg" w:hAnsi="Proxima Nova Alt ExCn Rg"/>
          <w:color w:val="000000" w:themeColor="text1"/>
        </w:rPr>
        <w:t xml:space="preserve"> LLC</w:t>
      </w:r>
      <w:r w:rsidR="00CB1D09">
        <w:rPr>
          <w:rFonts w:ascii="Proxima Nova Alt ExCn Rg" w:hAnsi="Proxima Nova Alt ExCn Rg"/>
          <w:color w:val="000000" w:themeColor="text1"/>
        </w:rPr>
        <w:t xml:space="preserve"> at 50 users</w:t>
      </w:r>
      <w:r w:rsidRPr="004A74EC">
        <w:rPr>
          <w:rFonts w:ascii="Proxima Nova Alt ExCn Rg" w:hAnsi="Proxima Nova Alt ExCn Rg"/>
          <w:color w:val="000000" w:themeColor="text1"/>
        </w:rPr>
        <w:t>.</w:t>
      </w:r>
      <w:r w:rsidRPr="004A74EC">
        <w:rPr>
          <w:rFonts w:ascii="Proxima Nova Alt ExCn Rg" w:hAnsi="Proxima Nova Alt ExCn Rg"/>
          <w:color w:val="000000" w:themeColor="text1"/>
        </w:rPr>
        <w:br/>
        <w:t>• Deferred draw convertible into equity or payable later.</w:t>
      </w:r>
      <w:r w:rsidRPr="004A74EC">
        <w:rPr>
          <w:rFonts w:ascii="Proxima Nova Alt ExCn Rg" w:hAnsi="Proxima Nova Alt ExCn Rg"/>
          <w:color w:val="000000" w:themeColor="text1"/>
        </w:rPr>
        <w:br/>
        <w:t>• No double-hit: Draw reduces future equity or payout exposure.</w:t>
      </w:r>
    </w:p>
    <w:p w14:paraId="5A92A52D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1. Parties</w:t>
      </w:r>
    </w:p>
    <w:p w14:paraId="46D78597" w14:textId="77777777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TitleGenie LLC (“Company”), Brittain Strategies, LLC (“Advisor 1”), Oddo Strategies, LLC (“Advisor 2”).</w:t>
      </w:r>
    </w:p>
    <w:p w14:paraId="552CCE51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2. Purpose</w:t>
      </w:r>
    </w:p>
    <w:p w14:paraId="32F3D8D0" w14:textId="77777777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Advisors support GTM execution, Title partnerships, and strategic growth under a performance-based model.</w:t>
      </w:r>
    </w:p>
    <w:p w14:paraId="4FD15FCE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3. Target Equity (Performance-Based)</w:t>
      </w:r>
    </w:p>
    <w:p w14:paraId="2E553D2D" w14:textId="77777777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Brittain Strategies: 10%. Oddo Strategies: 5%. No upfront grant. Earned only via milestones.</w:t>
      </w:r>
    </w:p>
    <w:p w14:paraId="1718AAF0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4. Milestone-Based Equity Unlock</w:t>
      </w:r>
    </w:p>
    <w:p w14:paraId="28626685" w14:textId="77777777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20% at $100K MRR, 30% at $250K MRR, 50% at $500K MRR. 90-day sustain. Termination before milestone = 0% equity.</w:t>
      </w:r>
    </w:p>
    <w:p w14:paraId="6203D208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5. Vesting</w:t>
      </w:r>
    </w:p>
    <w:p w14:paraId="479D7551" w14:textId="77777777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36-month vesting for each unlocked tranche, monthly, straight-line.</w:t>
      </w:r>
    </w:p>
    <w:p w14:paraId="7EAA7A4A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6. Temporary Growth Budget Pool</w:t>
      </w:r>
    </w:p>
    <w:p w14:paraId="6D226F3A" w14:textId="549DD384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 xml:space="preserve">Up to 50% Net New Title Revenue may be allocated temporarily, reviewed every 90 days. </w:t>
      </w:r>
      <w:r w:rsidR="004A74EC">
        <w:rPr>
          <w:rFonts w:ascii="Proxima Nova Alt ExCn Rg" w:hAnsi="Proxima Nova Alt ExCn Rg"/>
          <w:color w:val="000000" w:themeColor="text1"/>
        </w:rPr>
        <w:t xml:space="preserve">Revisit to covert to more formal operational process.  Look at outcome of initial </w:t>
      </w:r>
      <w:proofErr w:type="gramStart"/>
      <w:r w:rsidR="004A74EC">
        <w:rPr>
          <w:rFonts w:ascii="Proxima Nova Alt ExCn Rg" w:hAnsi="Proxima Nova Alt ExCn Rg"/>
          <w:color w:val="000000" w:themeColor="text1"/>
        </w:rPr>
        <w:t>experience</w:t>
      </w:r>
      <w:proofErr w:type="gramEnd"/>
      <w:r w:rsidR="004A74EC">
        <w:rPr>
          <w:rFonts w:ascii="Proxima Nova Alt ExCn Rg" w:hAnsi="Proxima Nova Alt ExCn Rg"/>
          <w:color w:val="000000" w:themeColor="text1"/>
        </w:rPr>
        <w:t xml:space="preserve"> </w:t>
      </w:r>
    </w:p>
    <w:p w14:paraId="5D11F822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7. Advisor Participation in Growth Pool</w:t>
      </w:r>
    </w:p>
    <w:p w14:paraId="15691821" w14:textId="49B22202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Up to 20–30% personal allocation after Milestone 1, subject to committee approval and CEO veto.</w:t>
      </w:r>
      <w:r w:rsidR="004A74EC">
        <w:rPr>
          <w:rFonts w:ascii="Proxima Nova Alt ExCn Rg" w:hAnsi="Proxima Nova Alt ExCn Rg"/>
          <w:color w:val="000000" w:themeColor="text1"/>
        </w:rPr>
        <w:t xml:space="preserve">  </w:t>
      </w:r>
    </w:p>
    <w:p w14:paraId="7BCF736A" w14:textId="1A1C6660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 xml:space="preserve">8. Deferred Draw </w:t>
      </w:r>
      <w:r w:rsidR="004A74EC">
        <w:rPr>
          <w:rFonts w:ascii="Proxima Nova Alt ExCn Rg" w:hAnsi="Proxima Nova Alt ExCn Rg"/>
          <w:b w:val="0"/>
          <w:bCs w:val="0"/>
          <w:color w:val="000000" w:themeColor="text1"/>
        </w:rPr>
        <w:t>– Amount TBD based on contribution – target $5k</w:t>
      </w:r>
    </w:p>
    <w:p w14:paraId="608BAA02" w14:textId="77777777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Accrues but not paid upfront. Convertible to equity or payable later once revenue supports it. No double-hit.</w:t>
      </w:r>
    </w:p>
    <w:p w14:paraId="6905FC58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9. Governance — Model D</w:t>
      </w:r>
    </w:p>
    <w:p w14:paraId="25AEB235" w14:textId="7CDE3597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Committee: Steve + Brittain + Oddo. Majority vote. CEO veto over spend &gt;$</w:t>
      </w:r>
      <w:r w:rsidR="004A74EC">
        <w:rPr>
          <w:rFonts w:ascii="Proxima Nova Alt ExCn Rg" w:hAnsi="Proxima Nova Alt ExCn Rg"/>
          <w:color w:val="000000" w:themeColor="text1"/>
        </w:rPr>
        <w:t>5</w:t>
      </w:r>
      <w:r w:rsidRPr="004A74EC">
        <w:rPr>
          <w:rFonts w:ascii="Proxima Nova Alt ExCn Rg" w:hAnsi="Proxima Nova Alt ExCn Rg"/>
          <w:color w:val="000000" w:themeColor="text1"/>
        </w:rPr>
        <w:t>K</w:t>
      </w:r>
      <w:r w:rsidR="004A74EC">
        <w:rPr>
          <w:rFonts w:ascii="Proxima Nova Alt ExCn Rg" w:hAnsi="Proxima Nova Alt ExCn Rg"/>
          <w:color w:val="000000" w:themeColor="text1"/>
        </w:rPr>
        <w:t xml:space="preserve"> and can update over time</w:t>
      </w:r>
      <w:r w:rsidRPr="004A74EC">
        <w:rPr>
          <w:rFonts w:ascii="Proxima Nova Alt ExCn Rg" w:hAnsi="Proxima Nova Alt ExCn Rg"/>
          <w:color w:val="000000" w:themeColor="text1"/>
        </w:rPr>
        <w:t>.</w:t>
      </w:r>
    </w:p>
    <w:p w14:paraId="39F766DB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10. New LLC Formation Milestone</w:t>
      </w:r>
    </w:p>
    <w:p w14:paraId="6331C3F6" w14:textId="77777777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TitleGenie LLC formalized when: (a) X paid orders (to be confirmed), OR (b) Milestone 1 achieved.</w:t>
      </w:r>
    </w:p>
    <w:p w14:paraId="07379D7F" w14:textId="77777777" w:rsidR="006C7DE6" w:rsidRPr="004A74EC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4A74EC">
        <w:rPr>
          <w:rFonts w:ascii="Proxima Nova Alt ExCn Rg" w:hAnsi="Proxima Nova Alt ExCn Rg"/>
          <w:b w:val="0"/>
          <w:bCs w:val="0"/>
          <w:color w:val="000000" w:themeColor="text1"/>
        </w:rPr>
        <w:t>11. Advisor Duties</w:t>
      </w:r>
    </w:p>
    <w:p w14:paraId="150342E1" w14:textId="5E91FED9" w:rsidR="006C7DE6" w:rsidRPr="004A74EC" w:rsidRDefault="00000000">
      <w:pPr>
        <w:rPr>
          <w:rFonts w:ascii="Proxima Nova Alt ExCn Rg" w:hAnsi="Proxima Nova Alt ExCn Rg"/>
          <w:color w:val="000000" w:themeColor="text1"/>
        </w:rPr>
      </w:pPr>
      <w:r w:rsidRPr="004A74EC">
        <w:rPr>
          <w:rFonts w:ascii="Proxima Nova Alt ExCn Rg" w:hAnsi="Proxima Nova Alt ExCn Rg"/>
          <w:color w:val="000000" w:themeColor="text1"/>
        </w:rPr>
        <w:t>Industry partnerships, GTM development, competitive intelligence, customer introduction support.</w:t>
      </w:r>
    </w:p>
    <w:sectPr w:rsidR="006C7DE6" w:rsidRPr="004A7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827162">
    <w:abstractNumId w:val="8"/>
  </w:num>
  <w:num w:numId="2" w16cid:durableId="1540703407">
    <w:abstractNumId w:val="6"/>
  </w:num>
  <w:num w:numId="3" w16cid:durableId="942299425">
    <w:abstractNumId w:val="5"/>
  </w:num>
  <w:num w:numId="4" w16cid:durableId="1600722705">
    <w:abstractNumId w:val="4"/>
  </w:num>
  <w:num w:numId="5" w16cid:durableId="1942490172">
    <w:abstractNumId w:val="7"/>
  </w:num>
  <w:num w:numId="6" w16cid:durableId="513418346">
    <w:abstractNumId w:val="3"/>
  </w:num>
  <w:num w:numId="7" w16cid:durableId="2018068538">
    <w:abstractNumId w:val="2"/>
  </w:num>
  <w:num w:numId="8" w16cid:durableId="1851525131">
    <w:abstractNumId w:val="1"/>
  </w:num>
  <w:num w:numId="9" w16cid:durableId="13974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D25"/>
    <w:rsid w:val="004A74EC"/>
    <w:rsid w:val="006C7DE6"/>
    <w:rsid w:val="00AA1D8D"/>
    <w:rsid w:val="00B47730"/>
    <w:rsid w:val="00CB0664"/>
    <w:rsid w:val="00CB1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97CA3"/>
  <w14:defaultImageDpi w14:val="300"/>
  <w15:docId w15:val="{F08F7030-94D7-274C-9A31-24B78657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Farm Genie</cp:lastModifiedBy>
  <cp:revision>4</cp:revision>
  <dcterms:created xsi:type="dcterms:W3CDTF">2025-11-19T18:33:00Z</dcterms:created>
  <dcterms:modified xsi:type="dcterms:W3CDTF">2025-11-19T18:50:00Z</dcterms:modified>
  <cp:category/>
</cp:coreProperties>
</file>