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pPr>
        <w:pStyle w:val="19"/>
      </w:pPr>
      <w:r>
        <w:t>ORCID: Zhida Pang, https://orcid.org/0009-0000-0788-1232</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 Cataract Grading, Vision-Language Models, Limited Data Learning, Ordinal Regression, Class Imbalance, Medical Image Analysis</w:t>
      </w:r>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[14,15];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In cataract assessment, deep grading systems built on clinical scales have been developed for slit-lamp and retro-illumination photographs [21], nuclear cataract diagnosis from slit-lamp video [22], and cortical cataract grading with clinical sub-scores [23], but these pipelines remain CNN- or Transformer-based classifiers without language-aligned semantics. Standard contrastive alignment, moreover, does not preserve the ordinal topology of cataract severity. Unlike prior pipelines that attach ordinal losses to CNN features [5,15], this study couples vision-language alignment with a Bidirectional Rank-Aware Loss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Loss: To address the ordinal nature of cataracts, we integrate a distance-weighted rank loss that penalizes predictions based on their expected ordinal distance from the true grade, encouraging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gradient[24].</w:t>
      </w:r>
    </w:p>
    <w:p>
      <w:pPr>
        <w:pStyle w:val="3"/>
      </w:pPr>
      <w:r>
        <w:t>The Bidirectional Rank-Aware Loss (hereafter the rank loss)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r>
        <w:t xml:space="preserve"> This construction lies in the established family of expected-distance ordinal objectives [14,15]; the term “bidirectional” refers to the symmetry of the absolute distance rather than to a new loss family, and the contribution lies in coupling this rank objective with language-aligned semantic anchors and grade-specific medical prompts.</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r>
        <w:t xml:space="preserve"> In the ablation study, the Imbalance Strategy switch jointly enables class-weighted sampling and the focal term; rows without it train with uniform sampling and the standard cross-entropy term in place of the focal term.</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The cohort included patients across all age stages and of both sexes. All images were collected via routine clinical slit-lamp photography; the specific slit-lamp models and acquisition parameters were not recorded. Ground truth was established by three senior ophthalmologists via consensus voting: each image was graded by all three graders, and the final label was determined by consensus. As the reference standard reflects consensus rather than independent parallel ratings, inter-rater κ is not reported.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(Fig. 4):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pStyle w:val="3"/>
      </w:pPr>
      <w: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Experiments were conducted on an NVIDIA RTX 4060 (8GB) using</w:t>
      </w:r>
      <w:r>
        <w:rPr>
          <w:rFonts w:hint="eastAsia"/>
          <w:lang w:eastAsia="zh-CN"/>
        </w:rPr>
      </w:r>
      <w:r>
        <w:t xml:space="preserve"> PyTorch 1.12. We used the AdamW optimizer and a Cosine Annealing learning rate schedule (initial </w:t>
      </w:r>
      <m:oMath>
        <m:r>
          <m:rPr/>
          <w:rPr>
            <w:rFonts w:ascii="Cambria Math" w:hAnsi="Cambria Math"/>
          </w:rPr>
          <m:t>lr=1e−4</m:t>
        </m:r>
      </m:oMath>
      <w:r>
        <w:t>)</w:t>
      </w:r>
      <w:r>
        <w:rPr>
          <w:rFonts w:hint="eastAsia"/>
          <w:lang w:eastAsia="zh-CN"/>
        </w:rPr>
        <w:t>[25]</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random seeds 42, 123, and 2024.</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A nonparametric bootstrap 95% confidence interval for CLIP-CAT accuracy (10,000 resamples of the 335 test images) is [83.3%, 90.4%].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Table 2. Performance comparison with baseline and task-specific models. Values are means over 3 independent runs (seeds 42, 123, and 2024); values for CLIP-CAT are reported as mean ± standard deviation.</w:t>
      </w:r>
      <w:r>
        <w:rPr>
          <w:b/>
        </w:rPr>
      </w:r>
      <w:r>
        <w:rPr>
          <w:b/>
        </w:rPr>
      </w:r>
      <w:r>
        <w:rPr>
          <w:b/>
        </w:rPr>
      </w:r>
      <w:r>
        <w:rPr>
          <w:b/>
        </w:rPr>
      </w:r>
      <w:r>
        <w:rPr>
          <w:b/>
        </w:rPr>
      </w:r>
      <w:r>
        <w:rPr>
          <w:b/>
        </w:rPr>
      </w:r>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CLIP ViT-L/14</w:t>
            </w:r>
          </w:p>
        </w:tc>
        <w:tc>
          <w:tcPr>
            <w:tcW w:w="0" w:type="auto"/>
            <w:vAlign w:val="center"/>
          </w:tcPr>
          <w:p>
            <w:r>
              <w:t>79.50%</w:t>
            </w:r>
          </w:p>
        </w:tc>
        <w:tc>
          <w:tcPr>
            <w:tcW w:w="0" w:type="auto"/>
            <w:vAlign w:val="center"/>
          </w:tcPr>
          <w:p>
            <w:r>
              <w:t>1.05</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CNN + Ordinal</w:t>
            </w:r>
          </w:p>
        </w:tc>
        <w:tc>
          <w:tcPr>
            <w:tcW w:w="0" w:type="auto"/>
            <w:vAlign w:val="center"/>
          </w:tcPr>
          <w:p>
            <w:r>
              <w:t>80.30%</w:t>
            </w:r>
          </w:p>
        </w:tc>
        <w:tc>
          <w:tcPr>
            <w:tcW w:w="0" w:type="auto"/>
            <w:vAlign w:val="center"/>
          </w:tcPr>
          <w:p>
            <w:r>
              <w:t>0.90</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Task-specific</w:t>
            </w:r>
          </w:p>
        </w:tc>
        <w:tc>
          <w:tcPr>
            <w:tcW w:w="0" w:type="auto"/>
            <w:vAlign w:val="center"/>
          </w:tcPr>
          <w:p>
            <w:r>
              <w:t>83.10%</w:t>
            </w:r>
          </w:p>
        </w:tc>
        <w:tc>
          <w:tcPr>
            <w:tcW w:w="0" w:type="auto"/>
            <w:vAlign w:val="center"/>
          </w:tcPr>
          <w:p>
            <w:r>
              <w:t>0.72</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Task-specific</w:t>
            </w:r>
          </w:p>
        </w:tc>
        <w:tc>
          <w:tcPr>
            <w:tcW w:w="0" w:type="auto"/>
            <w:vAlign w:val="center"/>
          </w:tcPr>
          <w:p>
            <w:r>
              <w:t>82.65%</w:t>
            </w:r>
          </w:p>
        </w:tc>
        <w:tc>
          <w:tcPr>
            <w:tcW w:w="0" w:type="auto"/>
            <w:vAlign w:val="center"/>
          </w:tcPr>
          <w:p>
            <w:r>
              <w:t>0.78</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CLIP-CAT (ours)</w:t>
            </w:r>
          </w:p>
        </w:tc>
        <w:tc>
          <w:tcPr>
            <w:tcW w:w="0" w:type="auto"/>
            <w:vAlign w:val="center"/>
          </w:tcPr>
          <w:p>
            <w:r>
              <w:t>Vision-Language</w:t>
            </w:r>
          </w:p>
        </w:tc>
        <w:tc>
          <w:tcPr>
            <w:tcW w:w="0" w:type="auto"/>
            <w:vAlign w:val="center"/>
          </w:tcPr>
          <w:p>
            <w:r>
              <w:t>86.76% ± 0.20%</w:t>
            </w:r>
          </w:p>
        </w:tc>
        <w:tc>
          <w:tcPr>
            <w:tcW w:w="0" w:type="auto"/>
            <w:vAlign w:val="center"/>
          </w:tcPr>
          <w:p>
            <w:r>
              <w:t>0.42 ± 0.02</w:t>
            </w:r>
          </w:p>
        </w:tc>
        <w:tc>
          <w:tcPr>
            <w:tcW w:w="0" w:type="auto"/>
            <w:vAlign w:val="center"/>
          </w:tcPr>
          <w:p w14:paraId="28230A34">
            <w:r>
              <w:t>0.88 ± 0.01</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r>
        <w: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 Single-run results (seed 42).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(exact binomial 95% CI for recall: G4 75.0% [19.4%–99.4%]; G5 66.7% [9.4%–99.2%]); dense opacity remains visually unambiguous, yet residual under-detection persists.</w:t>
      </w:r>
    </w:p>
    <w:p w14:paraId="3FA4E09B">
      <w:pPr>
        <w:pStyle w:val="40"/>
        <w:rPr>
          <w:lang w:eastAsia="zh-CN"/>
        </w:rPr>
      </w:pPr>
      <w:r>
        <w:t>Table 5. Confusion matrix on the held-out test set (335 images). Rows represent true grades, columns represent predicted grades. Single-run results (seed 42).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10 + 3),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three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[26]</w:t>
      </w:r>
      <w:r>
        <w:t xml:space="preserve"> to enhance robustness against imaging artifacts and complex ocular conditions in real-world scenarios.</w:t>
      </w:r>
    </w:p>
    <w:p>
      <w:pPr>
        <w:pStyle w:val="26"/>
      </w:pPr>
      <w:r>
        <w:t>Author Contributions</w:t>
      </w:r>
    </w:p>
    <w:p>
      <w:pPr/>
      <w:r>
        <w:t>Zhida Pang: methodology, software, investigation, formal analysis, writing – original draft. Shuang Wang: conceptualization, supervision, writing – review and editing. All authors read and approved the final manuscript.</w:t>
      </w:r>
    </w:p>
    <w:p>
      <w:pPr>
        <w:pStyle w:val="26"/>
      </w:pPr>
      <w:r>
        <w:t>Conflict of Interest</w:t>
      </w:r>
    </w:p>
    <w:p>
      <w:pPr/>
      <w:r>
        <w:t>The authors declare that the research was conducted in the absence of any commercial or financial relationships that could be construed as a potential conflict of interest.</w:t>
      </w:r>
    </w:p>
    <w:p>
      <w:pPr>
        <w:pStyle w:val="26"/>
      </w:pPr>
      <w:r>
        <w:t>Funding</w:t>
      </w:r>
    </w:p>
    <w:p>
      <w:pPr/>
      <w:r>
        <w:t>This research received no specific grant from any funding agency in the public, commercial, or not-for-profit sectors.</w:t>
      </w:r>
    </w:p>
    <w:p>
      <w:pPr>
        <w:pStyle w:val="26"/>
      </w:pPr>
      <w:r>
        <w:t>Data Availability</w:t>
      </w:r>
    </w:p>
    <w:p>
      <w:pPr/>
      <w: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Son K Y ,Ko J ,Kim E , et al. Deep Learning-Based Cataract Detection and Grading from Slit-Lamp and Retro-Illumination Photographs[J].Ophthalmology Science,2022. DOI:10.1016/J.XOPS.2022.100147</w:t>
      </w:r>
    </w:p>
    <w:p>
      <w:pPr>
        <w:pStyle w:val="35"/>
      </w:pPr>
      <w:r>
        <w:t>Shimizu E ,Tanji M ,Nakayama S , et al. AI-based diagnosis of nuclear cataract from slit-lamp videos[J].Scientific Reports,2023. DOI:10.1038/S41598-023-49563-7</w:t>
      </w:r>
    </w:p>
    <w:p>
      <w:pPr>
        <w:pStyle w:val="35"/>
      </w:pPr>
      <w:r>
        <w:t>Wang J ,Xu Z ,Zheng W , et al. A Transformer-Based Knowledge Distillation Network for Cortical Cataract Grading[J].IEEE Transactions on Medical Imaging,2023. DOI:10.1109/TMI.2023.3327274</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