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Few-Shot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 xml:space="preserve"> </w:t>
      </w:r>
      <w:r>
        <w:t xml:space="preserve">language </w:t>
      </w:r>
      <w:r>
        <w:rPr>
          <w:rFonts w:hint="eastAsia"/>
          <w:lang w:eastAsia="zh-CN"/>
        </w:rPr>
        <w:t>modal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design a Bidirectional Rank-Aware Loss that encourages unimodal probability distributions, effectively modeling the inherent ordinality of the task.</w:t>
      </w:r>
      <w:r>
        <w:rPr>
          <w:rFonts w:hint="eastAsia"/>
          <w:lang w:eastAsia="zh-CN"/>
        </w:rPr>
        <w:t xml:space="preserve"> </w:t>
      </w:r>
      <w:r>
        <w:t>Experiments on 2,000 images demonstrate that CLIP-CAT achieves 86.76% accuracy and 0.42 MSE, significantly outperforming baselines by aligning with human diagnostic logic</w:t>
      </w:r>
      <w:r>
        <w:rPr>
          <w:rFonts w:hint="eastAsia"/>
        </w:rPr>
        <w:t>.</w:t>
      </w:r>
    </w:p>
    <w:p w14:paraId="640FAF76">
      <w:pPr>
        <w:pStyle w:val="32"/>
      </w:pPr>
      <w:r>
        <w:rPr>
          <w:b/>
          <w:bCs/>
        </w:rPr>
        <w:t>Keywords:</w:t>
      </w:r>
      <w:r>
        <w:t xml:space="preserve"> Cataract Grading, Vision-Language Models, Few-Shot Learning</w:t>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[3-6]</w:t>
      </w:r>
      <w:r>
        <w:t>.</w:t>
      </w:r>
    </w:p>
    <w:p w14:paraId="485AD268">
      <w:r>
        <w:t>To address these challenges, we propose CLIP-CAT, a vision-language framework that mimics the clinical diagnostic workflow. The main contributions of this study are three-fold:</w:t>
      </w:r>
    </w:p>
    <w:p w14:paraId="5F46B0A1">
      <w:pPr>
        <w:pStyle w:val="33"/>
      </w:pPr>
      <w:r>
        <w:t>A Multi-Granularity Vision-Language Framework: We introduce a novel synergy mechanism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propose a Bidirectional Rank-Aware Constraint that redefines the classification loss. By enforcing unimodal probability distributions and penalizing distance-based errors, we ensure predictions respect the strict logical progression of disease severity (e.g., Grade 0 &lt; Grade 5).</w:t>
      </w:r>
    </w:p>
    <w:p w14:paraId="43060AD6">
      <w:pPr>
        <w:pStyle w:val="33"/>
      </w:pPr>
      <w:r>
        <w:t>Robustness to Long-Tailed Distributions: We design a Prototype Smoothing Initialization strategy combined with prompt tuning. This enables the model to generalize effectively on small, imbalanced clinical datasets, significantly outperforming standard CNN architectures in few-shot scenarios.</w:t>
      </w:r>
    </w:p>
    <w:p w14:paraId="482CC56A">
      <w:pPr>
        <w:pStyle w:val="26"/>
      </w:pPr>
      <w:r>
        <w:t>Related Work</w:t>
      </w:r>
    </w:p>
    <w:p w14:paraId="342EF233">
      <w:pPr>
        <w:pStyle w:val="27"/>
        <w:spacing w:before="0"/>
      </w:pPr>
      <w:r>
        <w:rPr>
          <w:bCs/>
        </w:rPr>
        <w:t>Deep Learning for Cataract Grading</w:t>
      </w:r>
    </w:p>
    <w:p w14:paraId="0FEBEFA6">
      <w:pPr>
        <w:pStyle w:val="3"/>
      </w:pPr>
      <w:r>
        <w:t>Cataract grading evolved from hand-crafted features to deep learning. While CNNs improved feature extraction, they introduce ImageNet-induced domain bias, and Vision Transformers struggle with overfitting in limited-data regimes. Crucially, most existing methods treat grading as nominal multi-class classification, overlooking the intrinsic ordinal nature of disease severity</w:t>
      </w:r>
      <w:r>
        <w:rPr>
          <w:rFonts w:hint="eastAsia"/>
          <w:lang w:eastAsia="zh-CN"/>
        </w:rPr>
        <w:t>[7-10]</w:t>
      </w:r>
      <w:r>
        <w:t>.</w:t>
      </w:r>
    </w:p>
    <w:p w14:paraId="3C3E1BA8">
      <w:pPr>
        <w:pStyle w:val="27"/>
      </w:pPr>
      <w:r>
        <w:t>Vision-Language Models in Medicine</w:t>
      </w:r>
    </w:p>
    <w:p w14:paraId="7A93E3FD">
      <w:pPr>
        <w:pStyle w:val="3"/>
      </w:pPr>
      <w:r>
        <w:t>VLMs like CLIP represent a shift to multimodal alignment, with efficient tuning methods facilitating downstream adaptation. Despite successes in radiology, ophthalmic applications are scarce. Crucially, standard contrastive losses lack the capacity to preserve the intrinsic ordinal topology of cataract severity. This study bridges this gap by integrating ordinal logic into vision-language alignment</w:t>
      </w:r>
      <w:r>
        <w:rPr>
          <w:rFonts w:hint="eastAsia"/>
          <w:lang w:eastAsia="zh-CN"/>
        </w:rPr>
        <w:t>[11,12]</w:t>
      </w:r>
      <w:r>
        <w:t>.</w:t>
      </w:r>
    </w:p>
    <w:p w14:paraId="09EB6DDD">
      <w:pPr>
        <w:pStyle w:val="26"/>
      </w:pPr>
      <w:r>
        <w:t>Methodology</w:t>
      </w:r>
    </w:p>
    <w:p w14:paraId="27E27554">
      <w:pPr>
        <w:pStyle w:val="27"/>
        <w:spacing w:before="0"/>
      </w:pPr>
      <w:r>
        <w:t>Problem Definition and Notation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Optimization: To address the ordinal nature of cataracts, we introduce a specialized loss function that penalizes predictions based on their distance from the true grade, enforcing a unimodal probability distribution.</w:t>
      </w:r>
    </w:p>
    <w:p w14:paraId="626F759E">
      <w:pPr>
        <w:pStyle w:val="3"/>
      </w:pPr>
      <w:r>
        <w:t xml:space="preserve">Formally, we define the ordinal cataract grading task as learning a mapping function </w:t>
      </w:r>
      <m:oMath>
        <m:r>
          <m:rPr>
            <m:scr m:val="script"/>
          </m:rPr>
          <w:rPr>
            <w:rFonts w:ascii="Cambria Math" w:hAnsi="Cambria Math"/>
          </w:rPr>
          <m:t>ℱ:X</m:t>
        </m:r>
        <m:r>
          <m:rPr>
            <m:sty m:val="p"/>
          </m:rPr>
          <w:rPr>
            <w:rFonts w:hint="eastAsia" w:ascii="Cambria Math" w:hAnsi="Cambria Math"/>
          </w:rPr>
          <m:t>→</m:t>
        </m:r>
        <m:r>
          <m:rPr>
            <m:scr m:val="script"/>
          </m:rPr>
          <w:rPr>
            <w:rFonts w:ascii="Cambria Math" w:hAnsi="Cambria Math"/>
          </w:rPr>
          <m:t>Y</m:t>
        </m:r>
      </m:oMath>
      <w:r>
        <w:t xml:space="preserve">. Let the training dataset be denoted as </w:t>
      </w:r>
      <m:oMath>
        <m:r>
          <m:rPr>
            <m:scr m:val="script"/>
          </m:rPr>
          <w:rPr>
            <w:rFonts w:ascii="Cambria Math" w:hAnsi="Cambria Math"/>
          </w:rPr>
          <m:t>D=</m:t>
        </m:r>
        <m:r>
          <m:rPr>
            <m:lit/>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sSubSup>
          <m:sSubSupPr>
            <m:ctrlPr>
              <w:rPr>
                <w:rFonts w:ascii="Cambria Math" w:hAnsi="Cambria Math"/>
              </w:rPr>
            </m:ctrlPr>
          </m:sSubSupPr>
          <m:e>
            <m:r>
              <m:rPr>
                <m:lit/>
              </m:rPr>
              <w:rPr>
                <w:rFonts w:ascii="Cambria Math" w:hAnsi="Cambria Math"/>
              </w:rPr>
              <m:t>}</m:t>
            </m:r>
            <m:ctrlPr>
              <w:rPr>
                <w:rFonts w:ascii="Cambria Math" w:hAnsi="Cambria Math"/>
              </w:rPr>
            </m:ctrlPr>
          </m:e>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sSubSup>
      </m:oMath>
      <w:r>
        <w:t xml:space="preserve">, where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H</m:t>
            </m:r>
            <m:r>
              <m:rPr>
                <m:sty m:val="p"/>
              </m:rPr>
              <w:rPr>
                <w:rFonts w:hint="eastAsia" w:ascii="Cambria Math" w:hAnsi="Cambria Math"/>
              </w:rPr>
              <m:t>×</m:t>
            </m:r>
            <m:r>
              <m:rPr/>
              <w:rPr>
                <w:rFonts w:ascii="Cambria Math" w:hAnsi="Cambria Math"/>
              </w:rPr>
              <m:t>W</m:t>
            </m:r>
            <m:r>
              <m:rPr>
                <m:sty m:val="p"/>
              </m:rPr>
              <w:rPr>
                <w:rFonts w:hint="eastAsia" w:ascii="Cambria Math" w:hAnsi="Cambria Math"/>
              </w:rPr>
              <m:t>×</m:t>
            </m:r>
            <m:r>
              <m:rPr>
                <m:scr m:val="double-struck"/>
              </m:rPr>
              <w:rPr>
                <w:rFonts w:ascii="Cambria Math" w:hAnsi="Cambria Math"/>
              </w:rPr>
              <m:t>3</m:t>
            </m:r>
            <m:ctrlPr>
              <w:rPr>
                <w:rFonts w:ascii="Cambria Math" w:hAnsi="Cambria Math"/>
              </w:rPr>
            </m:ctrlPr>
          </m:sup>
        </m:sSup>
      </m:oMath>
      <w:r>
        <w:t xml:space="preserve"> represents the input slit-lamp image and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hint="eastAsia" w:ascii="Cambria Math" w:hAnsi="Cambria Math"/>
          </w:rPr>
          <m:t>∈</m:t>
        </m:r>
        <m:r>
          <m:rPr>
            <m:lit/>
          </m:rPr>
          <w:rPr>
            <w:rFonts w:ascii="Cambria Math" w:hAnsi="Cambria Math"/>
          </w:rPr>
          <m:t>{</m:t>
        </m:r>
        <m:r>
          <m:rPr>
            <m:sty m:val="p"/>
          </m:rPr>
          <w:rPr>
            <w:rFonts w:ascii="Cambria Math" w:hAnsi="Cambria Math"/>
          </w:rPr>
          <m:t>0,1,</m:t>
        </m:r>
        <m:r>
          <m:rPr>
            <m:sty m:val="p"/>
          </m:rPr>
          <w:rPr>
            <w:rFonts w:hint="eastAsia" w:ascii="Cambria Math" w:hAnsi="Cambria Math"/>
          </w:rPr>
          <m:t>…</m:t>
        </m:r>
        <m:r>
          <m:rPr/>
          <w:rPr>
            <w:rFonts w:ascii="Cambria Math" w:hAnsi="Cambria Math"/>
          </w:rPr>
          <m:t>,C−1</m:t>
        </m:r>
        <m:r>
          <m:rPr>
            <m:lit/>
            <m:sty m:val="p"/>
          </m:rPr>
          <w:rPr>
            <w:rFonts w:ascii="Cambria Math" w:hAnsi="Cambria Math"/>
          </w:rPr>
          <m:t>}</m:t>
        </m:r>
      </m:oMath>
      <w:r>
        <w:t xml:space="preserve"> represents the ground truth severity label. Here, </w:t>
      </w:r>
      <m:oMath>
        <m:r>
          <m:rPr/>
          <w:rPr>
            <w:rFonts w:ascii="Cambria Math" w:hAnsi="Cambria Math"/>
          </w:rPr>
          <m:t>C=6</m:t>
        </m:r>
      </m:oMath>
      <w:r>
        <w:t xml:space="preserve"> corresponds to the LOCS III grading scale</w:t>
      </w:r>
      <w:r>
        <w:rPr>
          <w:rFonts w:hint="eastAsia"/>
          <w:lang w:eastAsia="zh-CN"/>
        </w:rPr>
        <w:t>[13]</w:t>
      </w:r>
      <w:r>
        <w:t>.</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rPr>
          <w:b/>
        </w:rPr>
        <w:t xml:space="preserve">Fig. </w:t>
      </w:r>
      <w:r>
        <w:rPr>
          <w:b/>
        </w:rPr>
        <w:fldChar w:fldCharType="begin"/>
      </w:r>
      <w:r>
        <w:rPr>
          <w:b/>
        </w:rPr>
        <w:instrText xml:space="preserve"> SEQ "Figure" \* MERGEFORMAT </w:instrText>
      </w:r>
      <w:r>
        <w:rPr>
          <w:b/>
        </w:rPr>
        <w:fldChar w:fldCharType="separate"/>
      </w:r>
      <w:r>
        <w:rPr>
          <w:b/>
        </w:rPr>
        <w:t>1</w:t>
      </w:r>
      <w:r>
        <w:rPr>
          <w:b/>
        </w:rPr>
        <w:fldChar w:fldCharType="end"/>
      </w:r>
      <w:r>
        <w:rPr>
          <w:b/>
        </w:rPr>
        <w:t>.</w:t>
      </w:r>
      <w:r>
        <w:t xml:space="preserve"> Overview of the proposed CLIP-CAT framework illustrating the synergy between the global CLIP encoder and the local adaptive patching branch, fused via the attention mechanism.</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SEQ "equation" \n \∗ MERGEFORMAT </m:t>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fldChar w:fldCharType="begin"/>
      </w:r>
      <w:r>
        <w:instrText xml:space="preserve"> SEQ "equation" \n \* MERGEFORMAT </w:instrText>
      </w:r>
      <w:r>
        <w:fldChar w:fldCharType="separate"/>
      </w:r>
      <w:r>
        <w:t>2</w:t>
      </w:r>
      <w:r>
        <w:fldChar w:fldCharType="end"/>
      </w:r>
      <w:r>
        <w:t>)</w:t>
      </w:r>
    </w:p>
    <w:p w14:paraId="77DC3DE7">
      <w:pPr>
        <w:pStyle w:val="3"/>
      </w:pPr>
      <w:r>
        <w:t>Here</w:t>
      </w:r>
      <w:r>
        <w:rPr>
          <w:rFonts w:hint="eastAsia"/>
        </w:rPr>
        <w:t xml:space="preserve"> </w:t>
      </w:r>
      <w:r>
        <w:rPr>
          <w:lang w:eastAsia="zh-CN"/>
        </w:rPr>
        <w:t>in</w:t>
      </w:r>
      <w:r>
        <w:rPr>
          <w:rFonts w:hint="eastAsia"/>
        </w:rPr>
        <w:t xml:space="preserve"> equation 2</w:t>
      </w:r>
      <w:r>
        <w:t xml:space="preserve">, </w:t>
      </w:r>
      <m:oMath>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oMath>
      <w:r>
        <w:t xml:space="preserve"> represents the probability distribution of pixel intensity </w:t>
      </w:r>
      <m:oMath>
        <m:r>
          <m:rPr/>
          <w:rPr>
            <w:rFonts w:ascii="Cambria Math" w:hAnsi="Cambria Math"/>
          </w:rPr>
          <m:t>I</m:t>
        </m:r>
      </m:oMath>
      <w:r>
        <w:t xml:space="preserve"> within the patch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 xml:space="preserve">. A higher entropy value </w:t>
      </w:r>
      <m:oMath>
        <m:r>
          <m:rPr/>
          <w:rPr>
            <w:rFonts w:ascii="Cambria Math" w:hAnsi="Cambria Math"/>
          </w:rPr>
          <m:t>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t xml:space="preserve"> indicates a higher complexity of texture, which clinically correlates with lens opacity or cataractous changes, whereas clear lenses exhibit lower entropy. Based on this metric, we select the top-</w:t>
      </w:r>
      <m:oMath>
        <m:r>
          <m:rPr/>
          <w:rPr>
            <w:rFonts w:ascii="Cambria Math" w:hAnsi="Cambria Math"/>
          </w:rPr>
          <m:t>K</m:t>
        </m:r>
      </m:oMath>
      <w:r>
        <w:t xml:space="preserve"> patches (experimentally set to </w:t>
      </w:r>
      <m:oMath>
        <m:r>
          <m:rPr/>
          <w:rPr>
            <w:rFonts w:ascii="Cambria Math" w:hAnsi="Cambria Math"/>
          </w:rPr>
          <m:t>K=6</m:t>
        </m:r>
      </m:oMath>
      <w:r>
        <w:t>) that contain the most significant pathological features.</w:t>
      </w:r>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41D2C3F2">
      <w:pPr>
        <w:pStyle w:val="24"/>
      </w:pPr>
      <m:oMathPara>
        <m:oMath>
          <m:r>
            <m:rPr/>
            <w:rPr>
              <w:rFonts w:ascii="Cambria Math" w:hAnsi="Cambria Math"/>
            </w:rPr>
            <m:t xml:space="preserve">                                               </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local</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K</m:t>
              </m:r>
              <m:ctrlPr>
                <w:rPr>
                  <w:rFonts w:ascii="Cambria Math" w:hAnsi="Cambria Math"/>
                </w:rPr>
              </m:ctrlPr>
            </m:den>
          </m:f>
          <m:nary>
            <m:naryPr>
              <m:chr m:val="∑"/>
              <m:ctrlPr>
                <w:rPr>
                  <w:rFonts w:ascii="Cambria Math" w:hAnsi="Cambria Math"/>
                </w:rPr>
              </m:ctrlPr>
            </m:naryPr>
            <m:sub>
              <m:r>
                <m:rPr/>
                <w:rPr>
                  <w:rFonts w:ascii="Cambria Math" w:hAnsi="Cambria Math"/>
                </w:rPr>
                <m:t>j</m:t>
              </m:r>
              <m:r>
                <m:rPr>
                  <m:sty m:val="p"/>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lℴc</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 xml:space="preserve">                                                        </m:t>
              </m:r>
              <m:ctrlPr>
                <w:rPr>
                  <w:rFonts w:ascii="Cambria Math" w:hAnsi="Cambria Math"/>
                </w:rPr>
              </m:ctrlPr>
            </m:e>
          </m:nary>
          <m:r>
            <m:rPr/>
            <w:rPr>
              <w:rFonts w:ascii="Cambria Math" w:hAnsi="Cambria Math"/>
            </w:rPr>
            <m:t>(</m:t>
          </m:r>
          <m:r>
            <w:rPr>
              <w:rFonts w:ascii="Cambria Math" w:hAnsi="Cambria Math"/>
            </w:rPr>
            <w:fldChar w:fldCharType="begin"/>
          </m:r>
          <m:r>
            <m:rPr>
              <m:sty m:val="p"/>
            </m:rPr>
            <w:rPr>
              <w:rFonts w:ascii="Cambria Math" w:hAnsi="Cambria Math"/>
            </w:rPr>
            <m:t xml:space="preserve"> SEQ "equation" \n \∗ MERGEFORMAT </m:t>
          </m:r>
          <m:r>
            <w:rPr>
              <w:rFonts w:ascii="Cambria Math" w:hAnsi="Cambria Math"/>
            </w:rPr>
            <w:fldChar w:fldCharType="separate"/>
          </m:r>
          <m:r>
            <m:rPr>
              <m:sty m:val="p"/>
            </m:rPr>
            <w:rPr>
              <w:rFonts w:ascii="Cambria Math" w:hAnsi="Cambria Math"/>
            </w:rPr>
            <m:t>3</m:t>
          </m:r>
          <m:r>
            <w:rPr>
              <w:rFonts w:ascii="Cambria Math" w:hAnsi="Cambria Math"/>
            </w:rPr>
            <w:fldChar w:fldCharType="end"/>
          </m:r>
          <m:r>
            <m:rPr/>
            <w:rPr>
              <w:rFonts w:ascii="Cambria Math" w:hAnsi="Cambria Math"/>
            </w:rPr>
            <m:t>)</m:t>
          </m:r>
        </m:oMath>
      </m:oMathPara>
    </w:p>
    <w:p w14:paraId="4DB3FDF8">
      <w:r>
        <w:t xml:space="preserve">This equation </w:t>
      </w:r>
      <w:r>
        <w:rPr>
          <w:rFonts w:hint="eastAsia"/>
          <w:lang w:eastAsia="zh-CN"/>
        </w:rPr>
        <w:t xml:space="preserve">3 </w:t>
      </w:r>
      <w:r>
        <w:t>aggregates the feature vectors from the top-</w:t>
      </w:r>
      <m:oMath>
        <m:r>
          <m:rPr/>
          <w:rPr>
            <w:rFonts w:ascii="Cambria Math" w:hAnsi="Cambria Math"/>
          </w:rPr>
          <m:t>K</m:t>
        </m:r>
      </m:oMath>
      <w:r>
        <w:t xml:space="preserve"> patches. By averaging the embeddings </w:t>
      </w:r>
      <m:oMath>
        <m:sSub>
          <m:sSubPr>
            <m:ctrlPr>
              <w:rPr>
                <w:rFonts w:ascii="Cambria Math" w:hAnsi="Cambria Math"/>
                <w:i/>
              </w:rPr>
            </m:ctrlPr>
          </m:sSubPr>
          <m:e>
            <m:r>
              <m:rPr>
                <m:scr m:val="script"/>
              </m:rPr>
              <w:rPr>
                <w:rFonts w:ascii="Cambria Math" w:hAnsi="Cambria Math"/>
              </w:rPr>
              <m:t>ℰ</m:t>
            </m:r>
            <m:ctrlPr>
              <w:rPr>
                <w:rFonts w:ascii="Cambria Math" w:hAnsi="Cambria Math"/>
                <w:i/>
              </w:rPr>
            </m:ctrlPr>
          </m:e>
          <m:sub>
            <m:r>
              <m:rPr>
                <m:scr m:val="script"/>
              </m:rPr>
              <w:rPr>
                <w:rFonts w:ascii="Cambria Math" w:hAnsi="Cambria Math"/>
              </w:rPr>
              <m:t>lℴc</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the resulting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oMath>
      <w:r>
        <w:t xml:space="preserve"> provides a noise-robust summary of the most severe lesions found in the eye.</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w:t>
      </w:r>
      <w:r>
        <w:rPr>
          <w:rFonts w:hint="eastAsia"/>
          <w:lang w:eastAsia="zh-CN"/>
        </w:rPr>
        <w:t xml:space="preserve"> 4 and 5</w:t>
      </w:r>
      <w:r>
        <w:t>:</w:t>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fldChar w:fldCharType="begin"/>
      </w:r>
      <w:r>
        <w:rPr>
          <w:b/>
        </w:rPr>
        <w:instrText xml:space="preserve"> SEQ "Table" \* MERGEFORMAT </w:instrText>
      </w:r>
      <w:r>
        <w:rPr>
          <w:b/>
        </w:rPr>
        <w:fldChar w:fldCharType="separate"/>
      </w:r>
      <w:r>
        <w:rPr>
          <w:b/>
        </w:rPr>
        <w:t>1</w:t>
      </w:r>
      <w:r>
        <w:rPr>
          <w:b/>
        </w:rPr>
        <w:fldChar w:fldCharType="end"/>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14:paraId="1490A8B5">
            <w:pPr>
              <w:spacing w:line="240" w:lineRule="auto"/>
              <w:rPr>
                <w:lang w:eastAsia="zh-CN"/>
              </w:rPr>
            </w:pPr>
            <w:r>
              <w:t>Fundus image showing clear lens with no nuclear cataract</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14:paraId="018D09F5">
            <w:pPr>
              <w:spacing w:line="240" w:lineRule="auto"/>
              <w:rPr>
                <w:lang w:eastAsia="zh-CN"/>
              </w:rPr>
            </w:pPr>
            <w:r>
              <w:rPr>
                <w:lang w:eastAsia="zh-CN"/>
              </w:rPr>
              <w:t>Fundus image with NC2 nuclear cataract showing slight opacity</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14:paraId="666249A9">
            <w:pPr>
              <w:spacing w:line="240" w:lineRule="auto"/>
              <w:rPr>
                <w:lang w:eastAsia="zh-CN"/>
              </w:rPr>
            </w:pPr>
            <w:r>
              <w:rPr>
                <w:lang w:eastAsia="zh-CN"/>
              </w:rPr>
              <w:t>Fundus image with NC3 nuclear cataract and mild opacity</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14:paraId="1A324B21">
            <w:pPr>
              <w:spacing w:line="240" w:lineRule="auto"/>
              <w:rPr>
                <w:lang w:eastAsia="zh-CN"/>
              </w:rPr>
            </w:pPr>
            <w:r>
              <w:rPr>
                <w:lang w:eastAsia="zh-CN"/>
              </w:rPr>
              <w:t>Fundus image with NC4 nuclear cataract and moderate opacity</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14:paraId="33F831F9">
            <w:pPr>
              <w:spacing w:line="240" w:lineRule="auto"/>
              <w:rPr>
                <w:lang w:eastAsia="zh-CN"/>
              </w:rPr>
            </w:pPr>
            <w:r>
              <w:rPr>
                <w:lang w:eastAsia="zh-CN"/>
              </w:rPr>
              <w:t>Fundus image with NC5 nuclear cataract and severe opacity</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14:paraId="26CE31C9">
            <w:pPr>
              <w:spacing w:line="240" w:lineRule="auto"/>
              <w:rPr>
                <w:lang w:eastAsia="zh-CN"/>
              </w:rPr>
            </w:pPr>
            <w:r>
              <w:rPr>
                <w:lang w:eastAsia="zh-CN"/>
              </w:rPr>
              <w:t>Fundus image with NC6 nuclear cataract and dense opacity</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type="textWrapping"/>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rPr>
          <w:b/>
        </w:rPr>
        <w:t xml:space="preserve">Fig. </w:t>
      </w:r>
      <w:r>
        <w:rPr>
          <w:b/>
        </w:rPr>
        <w:fldChar w:fldCharType="begin"/>
      </w:r>
      <w:r>
        <w:rPr>
          <w:b/>
        </w:rPr>
        <w:instrText xml:space="preserve"> SEQ "Figure" \* MERGEFORMAT </w:instrText>
      </w:r>
      <w:r>
        <w:rPr>
          <w:b/>
        </w:rPr>
        <w:fldChar w:fldCharType="separate"/>
      </w:r>
      <w:r>
        <w:rPr>
          <w:b/>
        </w:rPr>
        <w:t>2</w:t>
      </w:r>
      <w:r>
        <w:rPr>
          <w:b/>
        </w:rPr>
        <w:fldChar w:fldCharType="end"/>
      </w:r>
      <w:r>
        <w:rPr>
          <w:b/>
        </w:rPr>
        <w:t>.</w:t>
      </w:r>
      <w:r>
        <w:t xml:space="preserve"> Schematic representation of the distance penalty mechanism enforcing a unimodal probability distribution centered on the true label (Grade 2).</w:t>
      </w:r>
    </w:p>
    <w:p w14:paraId="42652084">
      <w:pPr>
        <w:pStyle w:val="3"/>
      </w:pPr>
      <w:r>
        <w:t>Figure 2 illustrates the physical simulation mechanism of the Bidirectional Rank</w:t>
      </w:r>
      <w:r>
        <w:rPr>
          <w:rFonts w:hint="eastAsia"/>
        </w:rPr>
        <w:t xml:space="preserve"> </w:t>
      </w:r>
      <w:r>
        <w:t>Aware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Unlike traditional Cross-Entropy, which treats classes as independent nominal variables, this mechanism introduces a grade distance penalty proportional to the prediction deviation. This repulsive force enforces bidirectional constraints</w:t>
      </w:r>
      <w:r>
        <w:rPr>
          <w:rFonts w:hint="eastAsia"/>
        </w:rPr>
        <w:t xml:space="preserve"> </w:t>
      </w:r>
      <w:r>
        <w:t>preventing both overestimation and underestimation</w:t>
      </w:r>
      <w:r>
        <w:rPr>
          <w:rFonts w:hint="eastAsia"/>
        </w:rPr>
        <w:t xml:space="preserve"> </w:t>
      </w:r>
      <w:r>
        <w:t>to shape the probability distribution into a unimodal form centered on the ground truth (Grade 2), effectively eliminating large-span errors.</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(7)</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to mitigate class imbalance while leveraging the rank-aware term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for ordinal constraints. With </w:t>
      </w:r>
      <m:oMath>
        <m:r>
          <m:rPr/>
          <w:rPr>
            <w:rFonts w:ascii="Cambria Math" w:hAnsi="Cambria Math"/>
          </w:rPr>
          <m:t>λ=1.0</m:t>
        </m:r>
      </m:oMath>
      <w:r>
        <w:t>,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2,000 slit-lamp images, with ground truth established by three senior ophthalmologists via consensus voting. The dataset exhibits a severe Long-tailed Distribution: head classes comprise approximately 70% of samples, while tail classes are scarce. Without intervention, this imbalance risks biasing the model toward the majority class (Grade 0) to minimize global loss, thereby failing to identify severe, sight-threatening cases.</w:t>
      </w:r>
    </w:p>
    <w:p w14:paraId="7D5670CA">
      <w:pPr>
        <w:pStyle w:val="27"/>
      </w:pPr>
      <w:r>
        <w:t>Implementation Details</w:t>
      </w:r>
    </w:p>
    <w:p w14:paraId="7831E420">
      <w:r>
        <w:t xml:space="preserve">Experiments were conducted on an NVIDIA RTX </w:t>
      </w:r>
      <w:r>
        <w:rPr>
          <w:rFonts w:hint="eastAsia"/>
          <w:lang w:eastAsia="zh-CN"/>
        </w:rPr>
        <w:t>405</w:t>
      </w:r>
      <w:r>
        <w:t xml:space="preserve">0 using PyTorch 1.12. We used the AdamW optimizer and a Cosine Annealing learning rate schedule (initial </w:t>
      </w:r>
      <m:oMath>
        <m:r>
          <m:rPr/>
          <w:rPr>
            <w:rFonts w:ascii="Cambria Math" w:hAnsi="Cambria Math"/>
          </w:rPr>
          <m:t>lr=1e−4</m:t>
        </m:r>
      </m:oMath>
      <w:r>
        <w:t>)</w:t>
      </w:r>
      <w:r>
        <w:rPr>
          <w:rFonts w:hint="eastAsia"/>
          <w:lang w:eastAsia="zh-CN"/>
        </w:rPr>
        <w:t>[15]</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14:paraId="129D285D">
      <w:pPr>
        <w:pStyle w:val="27"/>
      </w:pPr>
      <w:r>
        <w:t>Results Analysis: CLIP-CAT vs. ResNet</w:t>
      </w:r>
    </w:p>
    <w:p w14:paraId="690B80A7">
      <w:pPr>
        <w:pStyle w:val="3"/>
      </w:pPr>
      <w:r>
        <w:t>We benchmarked our CLIP-CAT against standard CNN-based (ResNet50, DenseNet121) and Transformer-based (ViT-B/16) architectures. The quantitative results are summarized in Table 2</w:t>
      </w:r>
      <w:r>
        <w:rPr>
          <w:rFonts w:hint="eastAsia"/>
          <w:lang w:eastAsia="zh-CN"/>
        </w:rPr>
        <w:t>[16-18]</w:t>
      </w:r>
      <w:r>
        <w:t>.</w:t>
      </w:r>
    </w:p>
    <w:p w14:paraId="79537209">
      <w:r>
        <w:t>Performance Superiority: CLIP-CAT outperforms the strongest baseline (ViT-B/16) by a significant margin of 4.21% in accuracy (86.76% vs. 82.55%).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drastic reduction in MSE to 0.42.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[19]</w:t>
      </w:r>
      <w:r>
        <w:t>.</w:t>
      </w:r>
    </w:p>
    <w:p w14:paraId="0165929E">
      <w:pPr>
        <w:pStyle w:val="40"/>
        <w:spacing w:before="120" w:after="0"/>
      </w:pPr>
      <w:r>
        <w:rPr>
          <w:b/>
        </w:rPr>
        <w:t xml:space="preserve">Table </w:t>
      </w:r>
      <w:r>
        <w:rPr>
          <w:b/>
        </w:rPr>
        <w:fldChar w:fldCharType="begin"/>
      </w:r>
      <w:r>
        <w:rPr>
          <w:b/>
        </w:rPr>
        <w:instrText xml:space="preserve"> SEQ "Table" \* MERGEFORMAT </w:instrText>
      </w:r>
      <w:r>
        <w:rPr>
          <w:b/>
        </w:rPr>
        <w:fldChar w:fldCharType="separate"/>
      </w:r>
      <w:r>
        <w:rPr>
          <w:b/>
        </w:rPr>
        <w:t>2</w:t>
      </w:r>
      <w:r>
        <w:rPr>
          <w:b/>
        </w:rPr>
        <w:fldChar w:fldCharType="end"/>
      </w:r>
      <w:r>
        <w:rPr>
          <w:b/>
        </w:rPr>
        <w:t>.</w:t>
      </w:r>
      <w:r>
        <w:t xml:space="preserve"> Performance comparison with baseline models.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CLIP-CAT (Ours)</w:t>
            </w:r>
          </w:p>
        </w:tc>
        <w:tc>
          <w:tcPr>
            <w:tcW w:w="0" w:type="auto"/>
            <w:vAlign w:val="center"/>
          </w:tcPr>
          <w:p w14:paraId="1603434E">
            <w:r>
              <w:t>CLIP ViT-L/14</w:t>
            </w:r>
          </w:p>
        </w:tc>
        <w:tc>
          <w:tcPr>
            <w:tcW w:w="0" w:type="auto"/>
            <w:vAlign w:val="center"/>
          </w:tcPr>
          <w:p w14:paraId="1639B6B2">
            <w:r>
              <w:t>86.76%</w:t>
            </w:r>
          </w:p>
        </w:tc>
        <w:tc>
          <w:tcPr>
            <w:tcW w:w="0" w:type="auto"/>
            <w:vAlign w:val="center"/>
          </w:tcPr>
          <w:p w14:paraId="3F227659">
            <w:r>
              <w:t>0.42</w:t>
            </w:r>
          </w:p>
        </w:tc>
        <w:tc>
          <w:tcPr>
            <w:tcW w:w="0" w:type="auto"/>
            <w:vAlign w:val="center"/>
          </w:tcPr>
          <w:p w14:paraId="28230A34">
            <w:r>
              <w:t>0.88</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naive application of CLIP yields an accuracy of 80.15%.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Rank Loss (Row 3): The integration of Rank Loss provides the most significant improvement in error control, plummeting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3FA4E09B">
      <w:pPr>
        <w:pStyle w:val="40"/>
        <w:rPr>
          <w:lang w:eastAsia="zh-CN"/>
        </w:rPr>
      </w:pPr>
      <w:r>
        <w:rPr>
          <w:b/>
        </w:rPr>
        <w:t xml:space="preserve">Table </w:t>
      </w:r>
      <w:r>
        <w:rPr>
          <w:b/>
        </w:rPr>
        <w:fldChar w:fldCharType="begin"/>
      </w:r>
      <w:r>
        <w:rPr>
          <w:b/>
        </w:rPr>
        <w:instrText xml:space="preserve"> SEQ "Table" \* MERGEFORMAT </w:instrText>
      </w:r>
      <w:r>
        <w:rPr>
          <w:b/>
        </w:rPr>
        <w:fldChar w:fldCharType="separate"/>
      </w:r>
      <w:r>
        <w:rPr>
          <w:b/>
        </w:rPr>
        <w:t>3</w:t>
      </w:r>
      <w:r>
        <w:rPr>
          <w:b/>
        </w:rPr>
        <w:fldChar w:fldCharType="end"/>
      </w:r>
      <w:r>
        <w:rPr>
          <w:b/>
        </w:rPr>
        <w:t>.</w:t>
      </w:r>
      <w:r>
        <w:t xml:space="preserve"> Ablation</w:t>
      </w:r>
      <w:r>
        <w:rPr>
          <w:lang w:eastAsia="zh-CN"/>
        </w:rPr>
        <w:t xml:space="preserve"> study demonstrating the incremental improvements of each module.</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bl>
    <w:p w14:paraId="592EAA92">
      <w:pPr>
        <w:pStyle w:val="26"/>
      </w:pPr>
      <w:r>
        <w:t>Conclusion</w:t>
      </w:r>
    </w:p>
    <w:p w14:paraId="34BC62C5">
      <w:pPr>
        <w:pStyle w:val="3"/>
      </w:pPr>
      <w:r>
        <w:t>In conclusion, this study presents CLIP-CAT, a novel vision-language framework designed to address the challenges of data scarcity, class imbalance, and ordinality in cataract grading. By synergizing adaptive patching for micro-lesion detection with a bidirectional rank-aware loss, our approach significantly outperforms traditional CNN baselines while offering interpretable, semantic reasoning essential for clinical trust. Although the current study is limited by a relatively small, single-center dataset and potential confounders from comorbidities, it establishes a solid foundation for explainable medical AI. Future work will prioritize validating the framework across diverse, multi-center cohorts and refining prompt engineering to enhance robustness against imaging artifacts and complex ocular conditions in real-world scenarios</w:t>
      </w:r>
      <w:r>
        <w:rPr>
          <w:rFonts w:hint="eastAsia"/>
          <w:lang w:eastAsia="zh-CN"/>
        </w:rPr>
        <w:t>[20]</w:t>
      </w:r>
      <w:r>
        <w:t>.</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Courvoisier S D ,Garcia B D ,Buclin P C , et al. Beyond human gold standards: A multimodel framework for automated abstract classification and information extraction.[J].Research synthesis methods,2026,17(2):365-377.DOI:10.1017/RSM.2025.10054.</w:t>
      </w:r>
    </w:p>
    <w:p w14:paraId="00A4971A">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454561DD">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464FACF3">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122CE1FE">
      <w:pPr>
        <w:pStyle w:val="35"/>
        <w:rPr>
          <w:lang w:eastAsia="zh-CN"/>
        </w:rPr>
      </w:pPr>
      <w:r>
        <w:rPr>
          <w:rFonts w:hint="eastAsia"/>
          <w:lang w:eastAsia="zh-CN"/>
        </w:rPr>
        <w:t>Panthier C ,Zeboulon P ,Rouger H , et al.CATALYZE: A DEEP LEARNING APPROCH FOR CATARACT ASSESSEMENT AND GRADING ON SS-OCT ANTERION IMAGES.[J].Journal of cataract and refractive surgery,2024,DOI:10.1097/J.JCRS.0000000000001598.</w:t>
      </w:r>
    </w:p>
    <w:p w14:paraId="66DC1680">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24580EF5">
      <w:pPr>
        <w:pStyle w:val="35"/>
        <w:rPr>
          <w:lang w:eastAsia="zh-CN"/>
        </w:rPr>
      </w:pPr>
      <w:r>
        <w:rPr>
          <w:lang w:eastAsia="zh-CN"/>
        </w:rPr>
        <w:t>Kim W H ,Lee E J ,Kim I , et al. Comparison of active sentry and ozil handpiece in cataract surgery according to the grade of nucleosclerosis and challenging conditions.[J].International ophthalmology,2025,45(1):427.DOI:10.1007/S10792-025-03814-W.</w:t>
      </w:r>
    </w:p>
    <w:p w14:paraId="61429A67">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6F14C40C">
      <w:pPr>
        <w:pStyle w:val="35"/>
        <w:rPr>
          <w:lang w:eastAsia="zh-CN"/>
        </w:rPr>
      </w:pPr>
      <w:r>
        <w:rPr>
          <w:lang w:eastAsia="zh-CN"/>
        </w:rPr>
        <w:t>Chen Y ,Zhang Q ,Shi X , et al. PromptMix: LLM-aided prompt learning for generalizing vision-language models[J].Information Fusion,2026,131104186-104186.DOI:10.1016/J.INFFUS.2026.104186.</w:t>
      </w:r>
    </w:p>
    <w:p w14:paraId="0AB1F9BF">
      <w:pPr>
        <w:pStyle w:val="35"/>
        <w:rPr>
          <w:lang w:eastAsia="zh-CN"/>
        </w:rPr>
      </w:pPr>
      <w:r>
        <w:rPr>
          <w:lang w:eastAsia="zh-CN"/>
        </w:rPr>
        <w:t>Chen Z ,Zhao Z ,Su F , et al. Data-efficient generalization for zero-shot composed image retrieval[J].Pattern Recognition,2026,176113187-113187.DOI:10.1016/J.PATCOG.2026.113187.</w:t>
      </w:r>
    </w:p>
    <w:p w14:paraId="7738BC54">
      <w:pPr>
        <w:pStyle w:val="35"/>
      </w:pPr>
      <w:r>
        <w:t>Chylack, L.T., Wolfe, J.K., Singer, D.M., Leske, M.C., Bullimore, M.A., Bailey, I.L., Friend, J., McCarthy, D., Wu, S.Y.: The Lens Opacities Classification System III. Arch. Ophthalmol. 111(6), 831–836 (1993)</w:t>
      </w:r>
    </w:p>
    <w:p w14:paraId="0F163D63">
      <w:pPr>
        <w:pStyle w:val="35"/>
      </w:pPr>
      <w:r>
        <w:t>Gao, P., Geng, S., Zhang, R., Ma, T., Fang, R., Zhang, Y., Li, H., Qiao, Y.: CLIP-Adapter: Better Vision-Language Models with Feature Adapters. Int. J. Comput. Vis. 132(2), 581–595 (2024)</w:t>
      </w:r>
    </w:p>
    <w:p w14:paraId="72E44CD6">
      <w:pPr>
        <w:pStyle w:val="35"/>
      </w:pPr>
      <w:r>
        <w:t>Loshchilov, I., Hutter, F.: Decoupled weight decay regularization. In: International Conference on Learning Representations (ICLR) (2019)</w:t>
      </w:r>
    </w:p>
    <w:p w14:paraId="7410162C">
      <w:pPr>
        <w:pStyle w:val="35"/>
      </w:pPr>
      <w:r>
        <w:t>He, K., Zhang, X., Ren, S., Sun, J.: Deep residual learning for image recognition. In: Proceedings of the IEEE Conference on Computer Vision and Pattern Recognition (CVPR), pp. 770–778 (2016)</w:t>
      </w:r>
    </w:p>
    <w:p w14:paraId="282F8F98">
      <w:pPr>
        <w:pStyle w:val="35"/>
      </w:pPr>
      <w:r>
        <w:t>Huang, G., Liu, Z., Van Der Maaten, L., Weinberger, K.Q.: Densely connected convolutional networks. In: Proceedings of the IEEE Conference on Computer Vision and Pattern Recognition (CVPR), pp. 4700–4708 (2017)</w:t>
      </w:r>
    </w:p>
    <w:p w14:paraId="43A48C91">
      <w:pPr>
        <w:pStyle w:val="35"/>
      </w:pPr>
      <w:r>
        <w:t>Dosovitskiy, A., et al.: An image is worth 16x16 words: Transformers for image recognition at scale. In: International Conference on Learning Representations (ICLR) (2021)</w:t>
      </w:r>
    </w:p>
    <w:p w14:paraId="58A5B799">
      <w:pPr>
        <w:pStyle w:val="35"/>
      </w:pPr>
      <w:r>
        <w:t>de la Torre, J., Puig, D., Valls, A.: Weighted kappa loss function for multi-class classification of ordinal data in deep learning. Pattern Recognit. Lett. 105, 144–154 (2018)</w:t>
      </w:r>
    </w:p>
    <w:p w14:paraId="603E457F">
      <w:pPr>
        <w:pStyle w:val="35"/>
      </w:pPr>
      <w:r>
        <w:t>Zhang, H., Cisse, M., Dauphin, Y.N., Lopez-Paz, D.: Mixup: beyond empirical risk minimization. In: International Conference on Learning Representations (ICLR) (2018)</w:t>
      </w:r>
    </w:p>
    <w:p w14:paraId="59FB7A41">
      <w:pPr>
        <w:pStyle w:val="35"/>
        <w:numPr>
          <w:ilvl w:val="0"/>
          <w:numId w:val="0"/>
        </w:numPr>
        <w:ind w:left="113"/>
        <w:rPr>
          <w:rFonts w:hint="eastAsia"/>
        </w:rPr>
      </w:pPr>
    </w:p>
    <w:p w14:paraId="20A5EA35">
      <w:pPr>
        <w:pStyle w:val="35"/>
        <w:numPr>
          <w:ilvl w:val="0"/>
          <w:numId w:val="0"/>
        </w:numPr>
        <w:ind w:left="113" w:hanging="113"/>
        <w:rPr>
          <w:rFonts w:hint="eastAsia"/>
          <w:lang w:eastAsia="zh-CN"/>
        </w:rPr>
      </w:pP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