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ind w:firstLine="420" w:firstLineChars="200"/>
        <w:rPr>
          <w:u w:val="double" w:color="0070C0"/>
        </w:rPr>
      </w:pPr>
      <w:r>
        <w:rPr>
          <w:u w:val="double" w:color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1446" w:firstLineChars="200"/>
                              <w:jc w:val="center"/>
                              <w:rPr>
                                <w:b/>
                                <w:bCs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著名作家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9pt;margin-top:0pt;height:144pt;width:144pt;mso-wrap-distance-bottom:0pt;mso-wrap-distance-top:0pt;mso-wrap-style:none;z-index:251659264;mso-width-relative:page;mso-height-relative:page;" filled="f" stroked="f" coordsize="21600,21600" o:gfxdata="UEsDBAoAAAAAAIdO4kAAAAAAAAAAAAAAAAAEAAAAZHJzL1BLAwQUAAAACACHTuJAA4CfptUAAAAI&#10;AQAADwAAAGRycy9kb3ducmV2LnhtbE2PMU/DMBCFdyT+g3VIbNROiyAKcTpUogtioFSwXmI3iRKf&#10;rdhNA7+eY4Lx0zu9+165XdwoZjvF3pOGbKVAWGq86anVcHx/vstBxIRkcPRkNXzZCNvq+qrEwvgL&#10;vdn5kFrBJRQL1NClFAopY9NZh3HlgyXOTn5ymBinVpoJL1zuRrlW6kE67Ik/dBjsrrPNcDg7Da/4&#10;sU/zMjT7IZzMpwv1bvP9ovXtTaaeQCS7pL9j+NVndajYqfZnMlGMzPmG1ZMGXsTx/WPGWGtY57kC&#10;WZXy/4DqB1BLAwQUAAAACACHTuJAiqwkczUCAABlBAAADgAAAGRycy9lMm9Eb2MueG1srVTNjtMw&#10;EL4j8Q6W7zRp6S6laroqWxUhrdiVCuLsOk4TyX+y3SblAeANOHHhznP1OficpN1q4bAHLs7YM/5m&#10;vm/Gmd00SpK9cL4yOqPDQUqJ0Nzkld5m9POn1asJJT4wnTNptMjoQXh6M3/5YlbbqRiZ0shcOAIQ&#10;7ae1zWgZgp0mieelUMwPjBUazsI4xQK2bpvkjtVAVzIZpel1UhuXW2e48B6ny85Je0T3HEBTFBUX&#10;S8N3SujQoTohWQAlX1bW03lbbVEIHu6LwotAZEbBNLQrksDexDWZz9h065gtK96XwJ5TwhNOilUa&#10;Sc9QSxYY2bnqLyhVcWe8KcKAG5V0RFpFwGKYPtFmXTIrWi6Q2tuz6P7/wfKP+wdHqhyTQIlmCg0/&#10;/vh+/Pn7+OsbGUZ5auuniFpbxIXmnWliaH/ucRhZN4VT8Qs+BH6IeziLK5pAeLw0GU0mKVwcvtMG&#10;OMnjdet8eC+MItHIqEP3WlHZ/s6HLvQUErNps6qkxDmbSk3qjF6/vkrbC2cPwKVGjkiiKzZaodk0&#10;PYONyQ8g5kw3Gd7yVYXkd8yHB+YwCigYjyXcYymkQRLTW5SUxn3913mMR4fgpaTGaGVU4yVRIj9o&#10;dO7tcDwGaGg346s3I2zcpWdz6dE7dWswu+gOamvNGB/kySycUV/wohYxJ1xMc2TOaDiZt6Ebd7xI&#10;LhaLNgizZ1m402vLI3RU0NvFLkDQVucoUqdMrx2mr+1U/1LieF/u26jHv8P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OAn6bVAAAACAEAAA8AAAAAAAAAAQAgAAAAIgAAAGRycy9kb3ducmV2Lnht&#10;bFBLAQIUABQAAAAIAIdO4kCKrCRzNQIAAGU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1446" w:firstLineChars="200"/>
                        <w:jc w:val="center"/>
                        <w:rPr>
                          <w:b/>
                          <w:bCs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著名作家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u w:val="double" w:color="0070C0"/>
        </w:rPr>
        <w:t>金庸，原名查良镛，华人最知名的武侠小说作家、新闻学家、企业家、政治评论家和社会活动家，中国作家协会名誉副主席，《中华人民共和国香港特别行政区基本法》主要起草人之一，香港最高荣衔“大紫荆勋章” 获得者，华人作家首富。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金庸与古龙、梁羽生并称为中国武侠小说三大宗师。他在1948年移居香港，是香港明报创办人，并著有“飞雪连天射白鹿，笑书神侠倚碧鸳”等14部武侠小说，作品亦被改编成影视剧集、游戏、漫画等产品，脍炙人口。金庸小说深受欢迎，不少文坛才子和读者都提笔撰写书评，形成「金学」研究的风潮</w:t>
      </w: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 xml:space="preserve">金庸是新派武侠小说最杰出的代表作家，香港著名的政论家、企业家、报人。被誉为“绝代宗师”和“泰山北斗”。香江第一才子（指才华）、香港第一健行（指社评）、世界第一侠笔（指武侠）。在香港与黄沾、蔡澜、倪匡并称“香港四大才子”。金迷们尊称其为“金大侠”或“查大侠”。他的多篇小说被选入课本。 </w:t>
      </w:r>
    </w:p>
    <w:p>
      <w:pPr>
        <w:spacing w:before="156" w:beforeLines="50" w:after="156" w:afterLines="50"/>
        <w:ind w:firstLine="420" w:firstLineChars="200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2" w:charSpace="0"/>
        </w:sectPr>
      </w:pP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t>金庸一支笔写武侠，一支笔纵论时局，享誉香江；少年游侠，中年游艺，老年游仙；为文可以风行一世，为商可以富比陶朱，为政可以参国论要。金庸一生的传奇，可谓多姿多彩之至。在他的文学作品中处处可见金庸中庸平和的风格。佛学对金庸的影响很大。 金庸博学多才。就武侠小说方面，金庸阅历丰富，知识渊博，文思敏捷，眼光独到。他继承古典武侠小说之精华，开创了形式独特、情节曲折、描写细腻且深具人性和豪情侠义的新派武侠小说先河。凡历史均有篡改，在政治、古代哲学、宗教、文学、艺术、电影等都有研究，作品中琴棋书画、诗词典章、天文历算、阴阳五行、奇门遁甲、儒道佛学均有涉猎。被誉为“综艺侠情派”。</w:t>
      </w:r>
    </w:p>
    <w:p>
      <w:pPr>
        <w:spacing w:before="156" w:beforeLines="50" w:after="156" w:afterLines="50"/>
        <w:ind w:firstLine="420" w:firstLineChars="20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3" w:sep="1"/>
          <w:docGrid w:type="lines" w:linePitch="312" w:charSpace="0"/>
        </w:sectPr>
      </w:pPr>
    </w:p>
    <w:p>
      <w:pPr>
        <w:spacing w:before="156" w:beforeLines="50" w:after="156" w:afterLines="50"/>
        <w:ind w:firstLine="420" w:firstLineChars="200"/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4567555</wp:posOffset>
            </wp:positionH>
            <wp:positionV relativeFrom="paragraph">
              <wp:posOffset>45085</wp:posOffset>
            </wp:positionV>
            <wp:extent cx="1440180" cy="1800225"/>
            <wp:effectExtent l="0" t="0" r="7620" b="9525"/>
            <wp:wrapSquare wrapText="bothSides"/>
            <wp:docPr id="2" name="图片 2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从20世纪50年代末至70年代初，金庸共写武侠小说15部，取其中14部作品名称的字首，可概括为“飞雪连天射白鹿，笑书神侠倚碧鸳”，外加一部《越女剑》。 金庸一生获颁荣衔甚多，其中包括： 法国“荣誉军团骑士”勋衔；英国牛津大学、剑桥大学、澳大利亚墨尔本大学、新加坡东亚研究所等校荣誉院士；香港大学、香港理工大学、香港公开大学、加拿大英属哥伦比亚大学名誉博士；东北师范大学、吉林大学、北京大学、日本创价大学、香港大学、南开大学、浙江大学、广州中山大学、四川大学、华东师范大学、杭州大学、苏州大学、台湾新竹清华大学等校名誉教授。其他称号更是数不胜数。 2009年特聘为中国作协副主席。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  <w:bookmarkStart w:id="0" w:name="_GoBack"/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7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  <w:tc>
          <w:tcPr>
            <w:tcW w:w="1218" w:type="dxa"/>
            <w:shd w:val="clear" w:color="auto" w:fill="FFFF00"/>
            <w:vAlign w:val="center"/>
          </w:tcPr>
          <w:p>
            <w:pPr>
              <w:spacing w:before="156" w:beforeLines="50" w:after="156" w:afterLines="50"/>
              <w:rPr>
                <w:color w:val="FFFF00"/>
                <w:highlight w:val="yellow"/>
              </w:rPr>
            </w:pPr>
          </w:p>
        </w:tc>
      </w:tr>
      <w:bookmarkEnd w:id="0"/>
    </w:tbl>
    <w:p>
      <w:pPr>
        <w:spacing w:before="156" w:beforeLines="50" w:after="156" w:afterLines="50"/>
        <w:ind w:firstLine="420" w:firstLineChars="200"/>
      </w:pPr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t>为国为民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</w:rPr>
      <w:t>侠之大者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gutterAtTop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014AB8"/>
    <w:rsid w:val="00014AB8"/>
    <w:rsid w:val="00363933"/>
    <w:rsid w:val="004E133D"/>
    <w:rsid w:val="00601077"/>
    <w:rsid w:val="009203AC"/>
    <w:rsid w:val="009C375C"/>
    <w:rsid w:val="00C44E93"/>
    <w:rsid w:val="31355D1C"/>
    <w:rsid w:val="39DC6679"/>
    <w:rsid w:val="47A76048"/>
    <w:rsid w:val="58136BF6"/>
    <w:rsid w:val="63A967F9"/>
    <w:rsid w:val="6CFD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147</Words>
  <Characters>838</Characters>
  <Lines>6</Lines>
  <Paragraphs>1</Paragraphs>
  <TotalTime>0</TotalTime>
  <ScaleCrop>false</ScaleCrop>
  <LinksUpToDate>false</LinksUpToDate>
  <CharactersWithSpaces>984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2023-10-19T08:08:00Z</dcterms:created>
  <dc:creator>蔡亮</dc:creator>
  <cp:lastModifiedBy>湖北技能高考-陈欢</cp:lastModifiedBy>
  <dcterms:modified xsi:type="dcterms:W3CDTF">2024-07-23T01:09:19Z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F5495B3B5FA74088AC79B2022D00A87E_12</vt:lpwstr>
  </property>
</Properties>
</file>