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after="313" w:afterLines="100" w:line="480" w:lineRule="auto"/>
        <w:jc w:val="center"/>
        <w:textAlignment w:val="auto"/>
        <w:rPr>
          <w:rFonts w:hint="eastAsia" w:asciiTheme="majorEastAsia" w:hAnsiTheme="majorEastAsia" w:eastAsiaTheme="majorEastAsia" w:cstheme="majorEastAsia"/>
          <w:b/>
          <w:bCs/>
          <w:sz w:val="44"/>
          <w:szCs w:val="44"/>
        </w:rPr>
      </w:pPr>
      <w:r>
        <w:rPr>
          <w:rFonts w:hint="eastAsia" w:asciiTheme="majorEastAsia" w:hAnsiTheme="majorEastAsia" w:eastAsiaTheme="majorEastAsia" w:cstheme="majorEastAsia"/>
          <w:b/>
          <w:bCs/>
          <w:sz w:val="44"/>
          <w:szCs w:val="44"/>
          <w:lang w:val="en-US" w:eastAsia="zh-CN"/>
        </w:rPr>
        <w:t>华为的发展历程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华为公司，这个名字如今已成为全球科技领域的代名词。成立于1987年，华为在短短几十年的时间里，凭借着不懈的努力和创新精神，不仅成为了全球领先的通信设备制造商，还成功进军了智能手机、云计算等多个领域。在这篇文章中，我们将探讨华为的发展历程、关键战略、成功因素以及未来展望。</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一、背景介绍</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华为的创始人任正非先生在1987年创建了华为，最初专注于通信设备的生产和销售。华为的名字取自“中华有为”，寓意着公司致力于为世界带来更好的通讯技术。华为的发展可以说是中国改革开放以来科技发展的一个缩影。</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二、发展历程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创立初期：华为在创立初期，面临着资金紧张和技术壁垒等众多挑战。然而，任正非先生和团队凭借着对技术的执着追求和敢于突破的精神，打破了国外企业的垄断，逐渐在通信设备市场崭露头角。</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全球领先通信设备制造商：进入21世纪，华为凭借其领先的技术和卓越的产品质量，逐渐成为全球通信设备的领导者。在2008年全球金融危机期间，华为更是一举超越了国外竞争对手，奠定了其全球领先地位。</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自主研发芯片：为了摆脱对国外芯片供应商的依赖，华为开始投入巨资研发自己的芯片。2018年，华为推出了自家研发的麒麟芯片，受到了业界和消费者的一致好评。</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三、关键战略</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市场战略：华为始终坚持以市场需求为导向，通过深入了解客户需求，提供定制化的解决方案，从而赢得市场份额。同时，华为还通过不断地进行市场拓展，将其业务范围扩展到全球各个角落。</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技术战略：华为一直以来都非常重视技术创新。它不仅拥有自己的研发团队，还通过与全球各大高校和科研机构合作，不断提高自己的技术实力。华为的技术战略主要体现在5G、人工智能、云计算等前沿领域。</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人才战略：华为非常注重人才培养和引进。公司通过制定一系列激励措施，吸引和留住优秀人才。此外，华为还为员工提供了完善的培训和发展计划，以帮助员工实现个人职业发展目标。</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四、成功因素</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准确的市场判断：华为始终能够敏锐地捕捉到市场的变化和趋势，根据市场需求灵活调整自己的业务战略。这种准确的市场判断力使得华为能够迅速适应市场变化，从而保持竞争优势。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持续的科技创新：华为一直以来都将科技创新作为公司发展的核心驱动力。它不仅注重技术研发的投资，还通过建立创新机制和营造创新文化，鼓励员工积极提出新思路和开展创新实践。这种持续的科技创新使得华为在通信、人工智能等领域取得了重大突破。</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积极拓展市场：华为采取积极主动的市场拓展策略。它通过建立分支机构、开展海外业务、与其他企业合作等多种方式，将自己的业务范围扩展到全球各地。这种积极的拓展策略帮助华为在全球范围内树立了品牌形象，并赢得了众多客户的信任和支持。</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rPr>
        <w:sectPr>
          <w:headerReference r:id="rId4" w:type="first"/>
          <w:headerReference r:id="rId3" w:type="default"/>
          <w:footerReference r:id="rId5" w:type="default"/>
          <w:pgSz w:w="11906" w:h="16838"/>
          <w:pgMar w:top="1701" w:right="1134" w:bottom="1701" w:left="1134" w:header="1020" w:footer="992" w:gutter="0"/>
          <w:pgBorders>
            <w:top w:val="none" w:sz="0" w:space="0"/>
            <w:left w:val="none" w:sz="0" w:space="0"/>
            <w:bottom w:val="none" w:sz="0" w:space="0"/>
            <w:right w:val="none" w:sz="0" w:space="0"/>
          </w:pgBorders>
          <w:pgNumType w:fmt="numberInDash"/>
          <w:cols w:space="0" w:num="1"/>
          <w:titlePg/>
          <w:rtlGutter w:val="0"/>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color w:val="00B0F0"/>
          <w:sz w:val="24"/>
          <w:szCs w:val="24"/>
        </w:rPr>
      </w:pPr>
      <w:r>
        <w:rPr>
          <w:rFonts w:hint="eastAsia" w:asciiTheme="majorEastAsia" w:hAnsiTheme="majorEastAsia" w:eastAsiaTheme="majorEastAsia" w:cstheme="majorEastAsia"/>
          <w:color w:val="00B0F0"/>
          <w:sz w:val="24"/>
          <w:szCs w:val="24"/>
        </w:rPr>
        <w:t>五、未来展望</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color w:val="00B0F0"/>
          <w:sz w:val="24"/>
          <w:szCs w:val="24"/>
        </w:rPr>
      </w:pPr>
      <w:r>
        <w:rPr>
          <w:rFonts w:hint="eastAsia" w:asciiTheme="majorEastAsia" w:hAnsiTheme="majorEastAsia" w:eastAsiaTheme="majorEastAsia" w:cstheme="majorEastAsia"/>
          <w:color w:val="00B0F0"/>
          <w:sz w:val="24"/>
          <w:szCs w:val="24"/>
        </w:rPr>
        <w:t>华为在取得全球领先的地位之后，继续关注市场动态和科技发展趋势，积极布局未来发展。以下是华为未来的几个发展方向和战略：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color w:val="00B0F0"/>
          <w:sz w:val="24"/>
          <w:szCs w:val="24"/>
        </w:rPr>
      </w:pPr>
      <w:r>
        <w:rPr>
          <w:rFonts w:hint="eastAsia" w:asciiTheme="majorEastAsia" w:hAnsiTheme="majorEastAsia" w:eastAsiaTheme="majorEastAsia" w:cstheme="majorEastAsia"/>
          <w:color w:val="00B0F0"/>
          <w:sz w:val="24"/>
          <w:szCs w:val="24"/>
        </w:rPr>
        <w:t>数字化转型：随着数字化趋势的不断发展，华为将进一步深化其在数字化转型领域的技术研究和市场拓展。它将继续优化现有产品和服务，同时推出更多的数字化解决方案，帮助客户实现数字化转型。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color w:val="00B0F0"/>
          <w:sz w:val="24"/>
          <w:szCs w:val="24"/>
        </w:rPr>
      </w:pPr>
      <w:r>
        <w:rPr>
          <w:rFonts w:hint="eastAsia" w:asciiTheme="majorEastAsia" w:hAnsiTheme="majorEastAsia" w:eastAsiaTheme="majorEastAsia" w:cstheme="majorEastAsia"/>
          <w:color w:val="00B0F0"/>
          <w:sz w:val="24"/>
          <w:szCs w:val="24"/>
        </w:rPr>
        <w:t>人工智能：人工智能是未来的一个热门领域，也是华为重点发展的方向之一。华为将继续加大在人工智能领域的研发投入，推出更多的人工智能技术和产品，以满足不断增长的市场需求。</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color w:val="00B0F0"/>
          <w:sz w:val="24"/>
          <w:szCs w:val="24"/>
        </w:rPr>
      </w:pPr>
      <w:r>
        <w:rPr>
          <w:rFonts w:hint="eastAsia" w:asciiTheme="majorEastAsia" w:hAnsiTheme="majorEastAsia" w:eastAsiaTheme="majorEastAsia" w:cstheme="majorEastAsia"/>
          <w:color w:val="00B0F0"/>
          <w:sz w:val="24"/>
          <w:szCs w:val="24"/>
        </w:rPr>
        <w:t>物联网：物联网是与5G技术密切相关的一个领域。随着5G网络的普及，物联网将会得到更广泛的应用。华为将在物联网领域继续深化研究和技术创新，推出更多的物联网解决方案，以满足不断增长的物联网市场需求。</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color w:val="00B0F0"/>
          <w:sz w:val="24"/>
          <w:szCs w:val="24"/>
        </w:rPr>
      </w:pPr>
      <w:r>
        <w:rPr>
          <w:rFonts w:hint="eastAsia" w:asciiTheme="majorEastAsia" w:hAnsiTheme="majorEastAsia" w:eastAsiaTheme="majorEastAsia" w:cstheme="majorEastAsia"/>
          <w:color w:val="00B0F0"/>
          <w:sz w:val="24"/>
          <w:szCs w:val="24"/>
        </w:rPr>
        <w:t>可持续发展：在全球环境问题日益严峻的背景下，可持续发展成为各行业的重要议题。华为也将更加注重环境保护和可持续发展。它将继续推动绿色生产和环保技术的应用，减少生产过程中的环境污染，同时还将积极开展社会公益活动，支持教育事业和社会公益事业的发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rPr>
        <w:sectPr>
          <w:type w:val="continuous"/>
          <w:pgSz w:w="11906" w:h="16838"/>
          <w:pgMar w:top="1701" w:right="1134" w:bottom="1701" w:left="1134" w:header="851" w:footer="992" w:gutter="0"/>
          <w:pgBorders>
            <w:top w:val="none" w:sz="0" w:space="0"/>
            <w:left w:val="none" w:sz="0" w:space="0"/>
            <w:bottom w:val="none" w:sz="0" w:space="0"/>
            <w:right w:val="none" w:sz="0" w:space="0"/>
          </w:pgBorders>
          <w:pgNumType w:fmt="numberInDash"/>
          <w:cols w:space="427" w:num="2" w:sep="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总之，华为作为一家全球领先的科技公司，将继续保持其敏锐的市场洞察力和科技创新力，积极拓展市场和深化研发的同时注重可持续发展和社会责任承担为全球消费者和客户创造更多价值，实现公司的长</w:t>
      </w:r>
      <w:r>
        <w:rPr>
          <w:rFonts w:hint="eastAsia" w:asciiTheme="majorEastAsia" w:hAnsiTheme="majorEastAsia" w:eastAsiaTheme="majorEastAsia" w:cstheme="majorEastAsia"/>
          <w:sz w:val="24"/>
          <w:szCs w:val="24"/>
          <w:lang w:val="en-US" w:eastAsia="zh-CN"/>
        </w:rPr>
        <w:t>远</w:t>
      </w:r>
      <w:r>
        <w:rPr>
          <w:rFonts w:hint="eastAsia" w:asciiTheme="majorEastAsia" w:hAnsiTheme="majorEastAsia" w:eastAsiaTheme="majorEastAsia" w:cstheme="majorEastAsia"/>
          <w:sz w:val="24"/>
          <w:szCs w:val="24"/>
        </w:rPr>
        <w:t>发展。</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附件：表格素材</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heme="minorEastAsia" w:hAnsiTheme="minorEastAsia" w:eastAsiaTheme="minorEastAsia" w:cstheme="minorEastAsia"/>
          <w:sz w:val="21"/>
          <w:szCs w:val="21"/>
          <w:lang w:val="en-US" w:eastAsia="zh-CN"/>
        </w:rPr>
      </w:pPr>
    </w:p>
    <w:p>
      <w:pPr>
        <w:pStyle w:val="2"/>
        <w:jc w:val="center"/>
        <w:rPr>
          <w:rFonts w:hint="eastAsia" w:eastAsia="宋体"/>
          <w:lang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华为发展史</w:t>
      </w:r>
    </w:p>
    <w:tbl>
      <w:tblPr>
        <w:tblStyle w:val="6"/>
        <w:tblW w:w="0" w:type="auto"/>
        <w:tblInd w:w="0" w:type="dxa"/>
        <w:tblBorders>
          <w:top w:val="double" w:color="0070C0" w:sz="4" w:space="0"/>
          <w:left w:val="double" w:color="0070C0" w:sz="4" w:space="0"/>
          <w:bottom w:val="double" w:color="0070C0" w:sz="4" w:space="0"/>
          <w:right w:val="double" w:color="0070C0" w:sz="4" w:space="0"/>
          <w:insideH w:val="single" w:color="0070C0" w:sz="4" w:space="0"/>
          <w:insideV w:val="single" w:color="0070C0" w:sz="4" w:space="0"/>
        </w:tblBorders>
        <w:tblLayout w:type="autofit"/>
        <w:tblCellMar>
          <w:top w:w="0" w:type="dxa"/>
          <w:left w:w="108" w:type="dxa"/>
          <w:bottom w:w="0" w:type="dxa"/>
          <w:right w:w="108" w:type="dxa"/>
        </w:tblCellMar>
      </w:tblPr>
      <w:tblGrid>
        <w:gridCol w:w="1066"/>
        <w:gridCol w:w="8788"/>
      </w:tblGrid>
      <w:tr>
        <w:tblPrEx>
          <w:tblBorders>
            <w:top w:val="double" w:color="0070C0" w:sz="4" w:space="0"/>
            <w:left w:val="double" w:color="0070C0" w:sz="4" w:space="0"/>
            <w:bottom w:val="double" w:color="0070C0" w:sz="4" w:space="0"/>
            <w:right w:val="double" w:color="0070C0" w:sz="4" w:space="0"/>
            <w:insideH w:val="single" w:color="0070C0" w:sz="4" w:space="0"/>
            <w:insideV w:val="single" w:color="0070C0" w:sz="4" w:space="0"/>
          </w:tblBorders>
          <w:tblCellMar>
            <w:top w:w="0" w:type="dxa"/>
            <w:left w:w="108" w:type="dxa"/>
            <w:bottom w:w="0" w:type="dxa"/>
            <w:right w:w="108" w:type="dxa"/>
          </w:tblCellMar>
        </w:tblPrEx>
        <w:trPr>
          <w:trHeight w:val="660" w:hRule="atLeast"/>
        </w:trPr>
        <w:tc>
          <w:tcPr>
            <w:tcW w:w="1066"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pPr>
            <w:r>
              <w:rPr>
                <w:rFonts w:hint="eastAsia" w:asciiTheme="minorEastAsia" w:hAnsiTheme="minorEastAsia" w:eastAsiaTheme="minorEastAsia" w:cstheme="minorEastAsia"/>
                <w:sz w:val="21"/>
                <w:szCs w:val="21"/>
                <w:lang w:val="en-US" w:eastAsia="zh-CN"/>
              </w:rPr>
              <w:t>2023</w:t>
            </w:r>
          </w:p>
        </w:tc>
        <w:tc>
          <w:tcPr>
            <w:tcW w:w="878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pPr>
            <w:r>
              <w:rPr>
                <w:rFonts w:hint="eastAsia" w:asciiTheme="minorEastAsia" w:hAnsiTheme="minorEastAsia" w:eastAsiaTheme="minorEastAsia" w:cstheme="minorEastAsia"/>
                <w:sz w:val="21"/>
                <w:szCs w:val="21"/>
                <w:lang w:val="en-US" w:eastAsia="zh-CN"/>
              </w:rPr>
              <w:t>发布HarmonyOS 3，对超级终端进行全面扩容。</w:t>
            </w:r>
          </w:p>
        </w:tc>
      </w:tr>
      <w:tr>
        <w:tblPrEx>
          <w:tblBorders>
            <w:top w:val="double" w:color="0070C0" w:sz="4" w:space="0"/>
            <w:left w:val="double" w:color="0070C0" w:sz="4" w:space="0"/>
            <w:bottom w:val="double" w:color="0070C0" w:sz="4" w:space="0"/>
            <w:right w:val="double" w:color="0070C0" w:sz="4" w:space="0"/>
            <w:insideH w:val="single" w:color="0070C0" w:sz="4" w:space="0"/>
            <w:insideV w:val="single" w:color="0070C0" w:sz="4" w:space="0"/>
          </w:tblBorders>
          <w:tblCellMar>
            <w:top w:w="0" w:type="dxa"/>
            <w:left w:w="108" w:type="dxa"/>
            <w:bottom w:w="0" w:type="dxa"/>
            <w:right w:w="108" w:type="dxa"/>
          </w:tblCellMar>
        </w:tblPrEx>
        <w:trPr>
          <w:trHeight w:val="660" w:hRule="atLeast"/>
        </w:trPr>
        <w:tc>
          <w:tcPr>
            <w:tcW w:w="1066"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pPr>
            <w:r>
              <w:rPr>
                <w:rFonts w:hint="eastAsia" w:asciiTheme="minorEastAsia" w:hAnsiTheme="minorEastAsia" w:eastAsiaTheme="minorEastAsia" w:cstheme="minorEastAsia"/>
                <w:sz w:val="21"/>
                <w:szCs w:val="21"/>
                <w:lang w:val="en-US" w:eastAsia="zh-CN"/>
              </w:rPr>
              <w:t>2022</w:t>
            </w:r>
          </w:p>
        </w:tc>
        <w:tc>
          <w:tcPr>
            <w:tcW w:w="878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pPr>
            <w:r>
              <w:rPr>
                <w:rFonts w:hint="eastAsia" w:asciiTheme="minorEastAsia" w:hAnsiTheme="minorEastAsia" w:eastAsiaTheme="minorEastAsia" w:cstheme="minorEastAsia"/>
                <w:sz w:val="21"/>
                <w:szCs w:val="21"/>
                <w:lang w:val="en-US" w:eastAsia="zh-CN"/>
              </w:rPr>
              <w:t>华为提出GUIDE商业蓝图，发布了“全面迈向5.5G时代”的理念。</w:t>
            </w:r>
          </w:p>
        </w:tc>
      </w:tr>
      <w:tr>
        <w:tblPrEx>
          <w:tblBorders>
            <w:top w:val="double" w:color="0070C0" w:sz="4" w:space="0"/>
            <w:left w:val="double" w:color="0070C0" w:sz="4" w:space="0"/>
            <w:bottom w:val="double" w:color="0070C0" w:sz="4" w:space="0"/>
            <w:right w:val="double" w:color="0070C0" w:sz="4" w:space="0"/>
            <w:insideH w:val="single" w:color="0070C0" w:sz="4" w:space="0"/>
            <w:insideV w:val="single" w:color="0070C0" w:sz="4" w:space="0"/>
          </w:tblBorders>
          <w:tblCellMar>
            <w:top w:w="0" w:type="dxa"/>
            <w:left w:w="108" w:type="dxa"/>
            <w:bottom w:w="0" w:type="dxa"/>
            <w:right w:w="108" w:type="dxa"/>
          </w:tblCellMar>
        </w:tblPrEx>
        <w:trPr>
          <w:trHeight w:val="660" w:hRule="atLeast"/>
        </w:trPr>
        <w:tc>
          <w:tcPr>
            <w:tcW w:w="1066"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pPr>
            <w:r>
              <w:rPr>
                <w:rFonts w:hint="eastAsia" w:asciiTheme="minorEastAsia" w:hAnsiTheme="minorEastAsia" w:eastAsiaTheme="minorEastAsia" w:cstheme="minorEastAsia"/>
                <w:sz w:val="21"/>
                <w:szCs w:val="21"/>
                <w:lang w:val="en-US" w:eastAsia="zh-CN"/>
              </w:rPr>
              <w:t>2021</w:t>
            </w:r>
          </w:p>
        </w:tc>
        <w:tc>
          <w:tcPr>
            <w:tcW w:w="878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pPr>
            <w:r>
              <w:rPr>
                <w:rFonts w:hint="eastAsia" w:asciiTheme="minorEastAsia" w:hAnsiTheme="minorEastAsia" w:eastAsiaTheme="minorEastAsia" w:cstheme="minorEastAsia"/>
                <w:sz w:val="21"/>
                <w:szCs w:val="21"/>
                <w:lang w:val="en-US" w:eastAsia="zh-CN"/>
              </w:rPr>
              <w:t>全球700多个城市、267家世界500强企业选择华为作为数字化转型的合作伙伴。</w:t>
            </w:r>
          </w:p>
        </w:tc>
      </w:tr>
      <w:tr>
        <w:tblPrEx>
          <w:tblBorders>
            <w:top w:val="double" w:color="0070C0" w:sz="4" w:space="0"/>
            <w:left w:val="double" w:color="0070C0" w:sz="4" w:space="0"/>
            <w:bottom w:val="double" w:color="0070C0" w:sz="4" w:space="0"/>
            <w:right w:val="double" w:color="0070C0" w:sz="4" w:space="0"/>
            <w:insideH w:val="single" w:color="0070C0" w:sz="4" w:space="0"/>
            <w:insideV w:val="single" w:color="0070C0" w:sz="4" w:space="0"/>
          </w:tblBorders>
          <w:tblCellMar>
            <w:top w:w="0" w:type="dxa"/>
            <w:left w:w="108" w:type="dxa"/>
            <w:bottom w:w="0" w:type="dxa"/>
            <w:right w:w="108" w:type="dxa"/>
          </w:tblCellMar>
        </w:tblPrEx>
        <w:trPr>
          <w:trHeight w:val="660" w:hRule="atLeast"/>
        </w:trPr>
        <w:tc>
          <w:tcPr>
            <w:tcW w:w="1066"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pPr>
            <w:r>
              <w:rPr>
                <w:rFonts w:hint="eastAsia" w:asciiTheme="minorEastAsia" w:hAnsiTheme="minorEastAsia" w:eastAsiaTheme="minorEastAsia" w:cstheme="minorEastAsia"/>
                <w:sz w:val="21"/>
                <w:szCs w:val="21"/>
                <w:lang w:val="en-US" w:eastAsia="zh-CN"/>
              </w:rPr>
              <w:t>2020</w:t>
            </w:r>
          </w:p>
        </w:tc>
        <w:tc>
          <w:tcPr>
            <w:tcW w:w="878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pPr>
            <w:r>
              <w:rPr>
                <w:rFonts w:hint="eastAsia" w:asciiTheme="minorEastAsia" w:hAnsiTheme="minorEastAsia" w:eastAsiaTheme="minorEastAsia" w:cstheme="minorEastAsia"/>
                <w:sz w:val="21"/>
                <w:szCs w:val="21"/>
                <w:lang w:val="en-US" w:eastAsia="zh-CN"/>
              </w:rPr>
              <w:t>华为全球终端连接数超过10亿，手机存量用户突破7.3亿。</w:t>
            </w:r>
          </w:p>
        </w:tc>
      </w:tr>
      <w:tr>
        <w:tblPrEx>
          <w:tblBorders>
            <w:top w:val="double" w:color="0070C0" w:sz="4" w:space="0"/>
            <w:left w:val="double" w:color="0070C0" w:sz="4" w:space="0"/>
            <w:bottom w:val="double" w:color="0070C0" w:sz="4" w:space="0"/>
            <w:right w:val="double" w:color="0070C0" w:sz="4" w:space="0"/>
            <w:insideH w:val="single" w:color="0070C0" w:sz="4" w:space="0"/>
            <w:insideV w:val="single" w:color="0070C0" w:sz="4" w:space="0"/>
          </w:tblBorders>
          <w:tblCellMar>
            <w:top w:w="0" w:type="dxa"/>
            <w:left w:w="108" w:type="dxa"/>
            <w:bottom w:w="0" w:type="dxa"/>
            <w:right w:w="108" w:type="dxa"/>
          </w:tblCellMar>
        </w:tblPrEx>
        <w:trPr>
          <w:trHeight w:val="660" w:hRule="atLeast"/>
        </w:trPr>
        <w:tc>
          <w:tcPr>
            <w:tcW w:w="1066"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pPr>
            <w:r>
              <w:rPr>
                <w:rFonts w:hint="eastAsia" w:asciiTheme="minorEastAsia" w:hAnsiTheme="minorEastAsia" w:eastAsiaTheme="minorEastAsia" w:cstheme="minorEastAsia"/>
                <w:sz w:val="21"/>
                <w:szCs w:val="21"/>
                <w:lang w:val="en-US" w:eastAsia="zh-CN"/>
              </w:rPr>
              <w:t>2019</w:t>
            </w:r>
          </w:p>
        </w:tc>
        <w:tc>
          <w:tcPr>
            <w:tcW w:w="878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pPr>
            <w:r>
              <w:rPr>
                <w:rFonts w:hint="eastAsia" w:asciiTheme="minorEastAsia" w:hAnsiTheme="minorEastAsia" w:eastAsiaTheme="minorEastAsia" w:cstheme="minorEastAsia"/>
                <w:sz w:val="21"/>
                <w:szCs w:val="21"/>
                <w:lang w:val="en-US" w:eastAsia="zh-CN"/>
              </w:rPr>
              <w:t>发布兼容ARM的处理器鲲鹏920。</w:t>
            </w:r>
          </w:p>
        </w:tc>
      </w:tr>
      <w:tr>
        <w:tblPrEx>
          <w:tblBorders>
            <w:top w:val="double" w:color="0070C0" w:sz="4" w:space="0"/>
            <w:left w:val="double" w:color="0070C0" w:sz="4" w:space="0"/>
            <w:bottom w:val="double" w:color="0070C0" w:sz="4" w:space="0"/>
            <w:right w:val="double" w:color="0070C0" w:sz="4" w:space="0"/>
            <w:insideH w:val="single" w:color="0070C0" w:sz="4" w:space="0"/>
            <w:insideV w:val="single" w:color="0070C0" w:sz="4" w:space="0"/>
          </w:tblBorders>
          <w:tblCellMar>
            <w:top w:w="0" w:type="dxa"/>
            <w:left w:w="108" w:type="dxa"/>
            <w:bottom w:w="0" w:type="dxa"/>
            <w:right w:w="108" w:type="dxa"/>
          </w:tblCellMar>
        </w:tblPrEx>
        <w:trPr>
          <w:trHeight w:val="660" w:hRule="atLeast"/>
        </w:trPr>
        <w:tc>
          <w:tcPr>
            <w:tcW w:w="1066"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pPr>
            <w:r>
              <w:rPr>
                <w:rFonts w:hint="eastAsia" w:asciiTheme="minorEastAsia" w:hAnsiTheme="minorEastAsia" w:eastAsiaTheme="minorEastAsia" w:cstheme="minorEastAsia"/>
                <w:sz w:val="21"/>
                <w:szCs w:val="21"/>
                <w:lang w:val="en-US" w:eastAsia="zh-CN"/>
              </w:rPr>
              <w:t>2018</w:t>
            </w:r>
          </w:p>
        </w:tc>
        <w:tc>
          <w:tcPr>
            <w:tcW w:w="878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pPr>
            <w:r>
              <w:rPr>
                <w:rFonts w:hint="eastAsia" w:asciiTheme="minorEastAsia" w:hAnsiTheme="minorEastAsia" w:eastAsiaTheme="minorEastAsia" w:cstheme="minorEastAsia"/>
                <w:sz w:val="21"/>
                <w:szCs w:val="21"/>
                <w:lang w:val="en-US" w:eastAsia="zh-CN"/>
              </w:rPr>
              <w:t>发布新一代人工智能手机芯片——麒麟980。</w:t>
            </w:r>
          </w:p>
        </w:tc>
      </w:tr>
    </w:tbl>
    <w:p>
      <w:pPr>
        <w:rPr>
          <w:rFonts w:hint="eastAsia" w:asciiTheme="minorEastAsia" w:hAnsiTheme="minorEastAsia" w:eastAsiaTheme="minorEastAsia" w:cstheme="minorEastAsia"/>
        </w:rPr>
        <w:sectPr>
          <w:type w:val="continuous"/>
          <w:pgSz w:w="11906" w:h="16838"/>
          <w:pgMar w:top="1701" w:right="1134" w:bottom="1701" w:left="1134" w:header="851" w:footer="992" w:gutter="0"/>
          <w:pgBorders>
            <w:top w:val="none" w:sz="0" w:space="0"/>
            <w:left w:val="none" w:sz="0" w:space="0"/>
            <w:bottom w:val="none" w:sz="0" w:space="0"/>
            <w:right w:val="none" w:sz="0" w:space="0"/>
          </w:pgBorders>
          <w:pgNumType w:fmt="numberInDash"/>
          <w:cols w:space="425" w:num="1"/>
          <w:docGrid w:type="lines" w:linePitch="312" w:charSpace="0"/>
        </w:sectPr>
      </w:pPr>
    </w:p>
    <w:p>
      <w:pPr>
        <w:jc w:val="center"/>
        <w:rPr>
          <w:rFonts w:ascii="宋体" w:hAnsi="宋体" w:eastAsia="宋体"/>
          <w:b/>
          <w:sz w:val="28"/>
          <w:szCs w:val="28"/>
        </w:rPr>
      </w:pPr>
      <w:r>
        <w:rPr>
          <w:rFonts w:hint="eastAsia" w:ascii="宋体" w:hAnsi="宋体" w:eastAsia="宋体"/>
          <w:b/>
          <w:sz w:val="28"/>
          <w:szCs w:val="28"/>
        </w:rPr>
        <w:t>工资表</w:t>
      </w:r>
    </w:p>
    <w:tbl>
      <w:tblPr>
        <w:tblStyle w:val="6"/>
        <w:tblpPr w:leftFromText="180" w:rightFromText="180" w:vertAnchor="page" w:horzAnchor="page" w:tblpX="915" w:tblpY="2337"/>
        <w:tblOverlap w:val="never"/>
        <w:tblW w:w="104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6"/>
        <w:gridCol w:w="1364"/>
        <w:gridCol w:w="1396"/>
        <w:gridCol w:w="1465"/>
        <w:gridCol w:w="1523"/>
        <w:gridCol w:w="1362"/>
        <w:gridCol w:w="1212"/>
        <w:gridCol w:w="1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1116" w:type="dxa"/>
            <w:vMerge w:val="restart"/>
            <w:vAlign w:val="center"/>
          </w:tcPr>
          <w:p>
            <w:pPr>
              <w:jc w:val="center"/>
              <w:rPr>
                <w:rFonts w:ascii="宋体" w:hAnsi="宋体" w:eastAsia="宋体"/>
                <w:szCs w:val="22"/>
              </w:rPr>
            </w:pPr>
            <w:r>
              <w:rPr>
                <w:rFonts w:hint="eastAsia" w:ascii="宋体" w:hAnsi="宋体" w:eastAsia="宋体"/>
                <w:szCs w:val="22"/>
              </w:rPr>
              <w:t>姓名</w:t>
            </w:r>
          </w:p>
        </w:tc>
        <w:tc>
          <w:tcPr>
            <w:tcW w:w="4225" w:type="dxa"/>
            <w:gridSpan w:val="3"/>
            <w:vAlign w:val="center"/>
          </w:tcPr>
          <w:p>
            <w:pPr>
              <w:jc w:val="center"/>
              <w:rPr>
                <w:rFonts w:ascii="宋体" w:hAnsi="宋体" w:eastAsia="宋体"/>
                <w:szCs w:val="22"/>
              </w:rPr>
            </w:pPr>
            <w:r>
              <w:rPr>
                <w:rFonts w:hint="eastAsia" w:ascii="宋体" w:hAnsi="宋体" w:eastAsia="宋体"/>
                <w:szCs w:val="22"/>
              </w:rPr>
              <w:t>应发</w:t>
            </w:r>
            <w:r>
              <w:rPr>
                <w:rFonts w:ascii="宋体" w:hAnsi="宋体" w:eastAsia="宋体"/>
                <w:szCs w:val="22"/>
              </w:rPr>
              <w:t>工资</w:t>
            </w:r>
          </w:p>
        </w:tc>
        <w:tc>
          <w:tcPr>
            <w:tcW w:w="2885" w:type="dxa"/>
            <w:gridSpan w:val="2"/>
            <w:vAlign w:val="center"/>
          </w:tcPr>
          <w:p>
            <w:pPr>
              <w:jc w:val="center"/>
              <w:rPr>
                <w:rFonts w:ascii="宋体" w:hAnsi="宋体" w:eastAsia="宋体"/>
                <w:szCs w:val="22"/>
              </w:rPr>
            </w:pPr>
            <w:r>
              <w:rPr>
                <w:rFonts w:hint="eastAsia" w:ascii="宋体" w:hAnsi="宋体" w:eastAsia="宋体"/>
                <w:szCs w:val="22"/>
              </w:rPr>
              <w:t>应扣工资</w:t>
            </w:r>
          </w:p>
        </w:tc>
        <w:tc>
          <w:tcPr>
            <w:tcW w:w="1212" w:type="dxa"/>
            <w:vMerge w:val="restart"/>
            <w:vAlign w:val="center"/>
          </w:tcPr>
          <w:p>
            <w:pPr>
              <w:jc w:val="center"/>
              <w:rPr>
                <w:rFonts w:ascii="宋体" w:hAnsi="宋体" w:eastAsia="宋体"/>
                <w:szCs w:val="22"/>
              </w:rPr>
            </w:pPr>
            <w:r>
              <w:rPr>
                <w:rFonts w:hint="eastAsia" w:ascii="宋体" w:hAnsi="宋体" w:eastAsia="宋体"/>
                <w:szCs w:val="22"/>
              </w:rPr>
              <w:t>实发</w:t>
            </w:r>
            <w:r>
              <w:rPr>
                <w:rFonts w:ascii="宋体" w:hAnsi="宋体" w:eastAsia="宋体"/>
                <w:szCs w:val="22"/>
              </w:rPr>
              <w:t>工资</w:t>
            </w:r>
          </w:p>
        </w:tc>
        <w:tc>
          <w:tcPr>
            <w:tcW w:w="1060" w:type="dxa"/>
            <w:vMerge w:val="restart"/>
            <w:vAlign w:val="center"/>
          </w:tcPr>
          <w:p>
            <w:pPr>
              <w:jc w:val="center"/>
              <w:rPr>
                <w:rFonts w:ascii="宋体" w:hAnsi="宋体" w:eastAsia="宋体"/>
                <w:szCs w:val="22"/>
              </w:rPr>
            </w:pPr>
            <w:r>
              <w:rPr>
                <w:rFonts w:hint="eastAsia" w:ascii="宋体" w:hAnsi="宋体" w:eastAsia="宋体"/>
                <w:szCs w:val="22"/>
              </w:rPr>
              <w:t>本人签名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116" w:type="dxa"/>
            <w:vMerge w:val="continue"/>
            <w:vAlign w:val="center"/>
          </w:tcPr>
          <w:p>
            <w:pPr>
              <w:jc w:val="center"/>
              <w:rPr>
                <w:rFonts w:ascii="宋体" w:hAnsi="宋体" w:eastAsia="宋体"/>
                <w:szCs w:val="22"/>
              </w:rPr>
            </w:pPr>
          </w:p>
        </w:tc>
        <w:tc>
          <w:tcPr>
            <w:tcW w:w="1364" w:type="dxa"/>
            <w:vAlign w:val="center"/>
          </w:tcPr>
          <w:p>
            <w:pPr>
              <w:jc w:val="center"/>
              <w:rPr>
                <w:rFonts w:ascii="宋体" w:hAnsi="宋体" w:eastAsia="宋体"/>
                <w:szCs w:val="22"/>
              </w:rPr>
            </w:pPr>
            <w:r>
              <w:rPr>
                <w:rFonts w:hint="eastAsia" w:ascii="宋体" w:hAnsi="宋体" w:eastAsia="宋体"/>
                <w:szCs w:val="22"/>
              </w:rPr>
              <w:t>基本</w:t>
            </w:r>
            <w:r>
              <w:rPr>
                <w:rFonts w:ascii="宋体" w:hAnsi="宋体" w:eastAsia="宋体"/>
                <w:szCs w:val="22"/>
              </w:rPr>
              <w:t>工资</w:t>
            </w:r>
          </w:p>
        </w:tc>
        <w:tc>
          <w:tcPr>
            <w:tcW w:w="1396" w:type="dxa"/>
            <w:vAlign w:val="center"/>
          </w:tcPr>
          <w:p>
            <w:pPr>
              <w:jc w:val="center"/>
              <w:rPr>
                <w:rFonts w:ascii="宋体" w:hAnsi="宋体" w:eastAsia="宋体"/>
                <w:szCs w:val="22"/>
              </w:rPr>
            </w:pPr>
            <w:r>
              <w:rPr>
                <w:rFonts w:hint="eastAsia" w:ascii="宋体" w:hAnsi="宋体" w:eastAsia="宋体"/>
                <w:szCs w:val="22"/>
              </w:rPr>
              <w:t>奖金</w:t>
            </w:r>
          </w:p>
        </w:tc>
        <w:tc>
          <w:tcPr>
            <w:tcW w:w="1465" w:type="dxa"/>
            <w:vAlign w:val="center"/>
          </w:tcPr>
          <w:p>
            <w:pPr>
              <w:jc w:val="center"/>
              <w:rPr>
                <w:rFonts w:ascii="宋体" w:hAnsi="宋体" w:eastAsia="宋体"/>
                <w:szCs w:val="22"/>
              </w:rPr>
            </w:pPr>
            <w:r>
              <w:rPr>
                <w:rFonts w:hint="eastAsia" w:ascii="宋体" w:hAnsi="宋体" w:eastAsia="宋体"/>
                <w:szCs w:val="22"/>
              </w:rPr>
              <w:t>补贴</w:t>
            </w:r>
          </w:p>
        </w:tc>
        <w:tc>
          <w:tcPr>
            <w:tcW w:w="1523" w:type="dxa"/>
            <w:vAlign w:val="center"/>
          </w:tcPr>
          <w:p>
            <w:pPr>
              <w:jc w:val="center"/>
              <w:rPr>
                <w:rFonts w:ascii="宋体" w:hAnsi="宋体" w:eastAsia="宋体"/>
                <w:szCs w:val="22"/>
              </w:rPr>
            </w:pPr>
            <w:r>
              <w:rPr>
                <w:rFonts w:hint="eastAsia" w:ascii="宋体" w:hAnsi="宋体" w:eastAsia="宋体"/>
                <w:szCs w:val="22"/>
              </w:rPr>
              <w:t>考勤</w:t>
            </w:r>
            <w:r>
              <w:rPr>
                <w:rFonts w:ascii="宋体" w:hAnsi="宋体" w:eastAsia="宋体"/>
                <w:szCs w:val="22"/>
              </w:rPr>
              <w:t>扣款</w:t>
            </w:r>
          </w:p>
        </w:tc>
        <w:tc>
          <w:tcPr>
            <w:tcW w:w="1362" w:type="dxa"/>
            <w:vAlign w:val="center"/>
          </w:tcPr>
          <w:p>
            <w:pPr>
              <w:jc w:val="center"/>
              <w:rPr>
                <w:rFonts w:ascii="宋体" w:hAnsi="宋体" w:eastAsia="宋体"/>
                <w:szCs w:val="22"/>
              </w:rPr>
            </w:pPr>
            <w:r>
              <w:rPr>
                <w:rFonts w:hint="eastAsia" w:ascii="宋体" w:hAnsi="宋体" w:eastAsia="宋体"/>
                <w:szCs w:val="22"/>
              </w:rPr>
              <w:t>其他</w:t>
            </w:r>
            <w:r>
              <w:rPr>
                <w:rFonts w:ascii="宋体" w:hAnsi="宋体" w:eastAsia="宋体"/>
                <w:szCs w:val="22"/>
              </w:rPr>
              <w:t>扣款</w:t>
            </w:r>
          </w:p>
        </w:tc>
        <w:tc>
          <w:tcPr>
            <w:tcW w:w="1212" w:type="dxa"/>
            <w:vMerge w:val="continue"/>
            <w:vAlign w:val="center"/>
          </w:tcPr>
          <w:p>
            <w:pPr>
              <w:jc w:val="center"/>
              <w:rPr>
                <w:rFonts w:hint="eastAsia" w:ascii="宋体" w:hAnsi="宋体" w:eastAsia="宋体"/>
                <w:szCs w:val="22"/>
                <w:lang w:val="en-US" w:eastAsia="zh-CN"/>
              </w:rPr>
            </w:pPr>
          </w:p>
        </w:tc>
        <w:tc>
          <w:tcPr>
            <w:tcW w:w="1060" w:type="dxa"/>
            <w:vMerge w:val="continue"/>
            <w:vAlign w:val="center"/>
          </w:tcPr>
          <w:p>
            <w:pPr>
              <w:jc w:val="center"/>
              <w:rPr>
                <w:rFonts w:ascii="宋体" w:hAnsi="宋体" w:eastAsia="宋体"/>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116" w:type="dxa"/>
            <w:vAlign w:val="center"/>
          </w:tcPr>
          <w:p>
            <w:pPr>
              <w:jc w:val="center"/>
              <w:rPr>
                <w:rFonts w:hint="eastAsia" w:ascii="宋体" w:hAnsi="宋体" w:eastAsia="宋体"/>
                <w:szCs w:val="22"/>
              </w:rPr>
            </w:pPr>
          </w:p>
        </w:tc>
        <w:tc>
          <w:tcPr>
            <w:tcW w:w="1364" w:type="dxa"/>
            <w:vAlign w:val="center"/>
          </w:tcPr>
          <w:p>
            <w:pPr>
              <w:jc w:val="center"/>
              <w:rPr>
                <w:rFonts w:ascii="宋体" w:hAnsi="宋体" w:eastAsia="宋体"/>
                <w:szCs w:val="22"/>
              </w:rPr>
            </w:pPr>
          </w:p>
        </w:tc>
        <w:tc>
          <w:tcPr>
            <w:tcW w:w="1396" w:type="dxa"/>
            <w:vAlign w:val="center"/>
          </w:tcPr>
          <w:p>
            <w:pPr>
              <w:jc w:val="center"/>
              <w:rPr>
                <w:rFonts w:ascii="宋体" w:hAnsi="宋体" w:eastAsia="宋体"/>
                <w:szCs w:val="22"/>
              </w:rPr>
            </w:pPr>
          </w:p>
        </w:tc>
        <w:tc>
          <w:tcPr>
            <w:tcW w:w="1465" w:type="dxa"/>
            <w:vAlign w:val="center"/>
          </w:tcPr>
          <w:p>
            <w:pPr>
              <w:jc w:val="center"/>
              <w:rPr>
                <w:rFonts w:ascii="宋体" w:hAnsi="宋体" w:eastAsia="宋体"/>
                <w:szCs w:val="22"/>
              </w:rPr>
            </w:pPr>
          </w:p>
        </w:tc>
        <w:tc>
          <w:tcPr>
            <w:tcW w:w="1523" w:type="dxa"/>
            <w:vAlign w:val="center"/>
          </w:tcPr>
          <w:p>
            <w:pPr>
              <w:jc w:val="center"/>
              <w:rPr>
                <w:rFonts w:ascii="宋体" w:hAnsi="宋体" w:eastAsia="宋体"/>
                <w:szCs w:val="22"/>
              </w:rPr>
            </w:pPr>
          </w:p>
        </w:tc>
        <w:tc>
          <w:tcPr>
            <w:tcW w:w="1362" w:type="dxa"/>
            <w:vAlign w:val="center"/>
          </w:tcPr>
          <w:p>
            <w:pPr>
              <w:jc w:val="center"/>
              <w:rPr>
                <w:rFonts w:ascii="宋体" w:hAnsi="宋体" w:eastAsia="宋体"/>
                <w:szCs w:val="22"/>
              </w:rPr>
            </w:pPr>
          </w:p>
        </w:tc>
        <w:tc>
          <w:tcPr>
            <w:tcW w:w="1212" w:type="dxa"/>
            <w:vAlign w:val="center"/>
          </w:tcPr>
          <w:p>
            <w:pPr>
              <w:jc w:val="center"/>
              <w:rPr>
                <w:rFonts w:ascii="宋体" w:hAnsi="宋体" w:eastAsia="宋体"/>
                <w:szCs w:val="22"/>
              </w:rPr>
            </w:pPr>
          </w:p>
        </w:tc>
        <w:tc>
          <w:tcPr>
            <w:tcW w:w="1060" w:type="dxa"/>
            <w:vAlign w:val="center"/>
          </w:tcPr>
          <w:p>
            <w:pPr>
              <w:jc w:val="center"/>
              <w:rPr>
                <w:rFonts w:ascii="宋体" w:hAnsi="宋体" w:eastAsia="宋体"/>
                <w:szCs w:val="22"/>
              </w:rPr>
            </w:pPr>
          </w:p>
        </w:tc>
      </w:tr>
    </w:tbl>
    <w:p>
      <w:pPr>
        <w:rPr>
          <w:rFonts w:hint="eastAsia"/>
        </w:rPr>
      </w:pPr>
      <w:bookmarkStart w:id="0" w:name="_GoBack"/>
      <w:bookmarkEnd w:id="0"/>
    </w:p>
    <w:sectPr>
      <w:pgSz w:w="11906" w:h="16838"/>
      <w:pgMar w:top="1440" w:right="1800" w:bottom="1440" w:left="1800" w:header="851" w:footer="992" w:gutter="0"/>
      <w:pgBorders>
        <w:top w:val="none" w:sz="0" w:space="0"/>
        <w:left w:val="none" w:sz="0" w:space="0"/>
        <w:bottom w:val="none" w:sz="0" w:space="0"/>
        <w:right w:val="none" w:sz="0" w:space="0"/>
      </w:pgBorders>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eastAsia" w:ascii="微软雅黑" w:hAnsi="微软雅黑" w:eastAsia="微软雅黑" w:cs="微软雅黑"/>
        <w:b/>
        <w:bCs/>
        <w:color w:val="FF0000"/>
        <w:sz w:val="40"/>
        <w:szCs w:val="56"/>
        <w:lang w:val="en-US" w:eastAsia="zh-CN"/>
      </w:rPr>
    </w:pPr>
    <w:r>
      <w:rPr>
        <w:rFonts w:hint="eastAsia" w:ascii="微软雅黑" w:hAnsi="微软雅黑" w:eastAsia="微软雅黑" w:cs="微软雅黑"/>
        <w:b/>
        <w:bCs/>
        <w:color w:val="FF0000"/>
        <w:sz w:val="40"/>
        <w:szCs w:val="56"/>
      </w:rPr>
      <w:pict>
        <v:shape id="PowerPlusWaterMarkObject39590" o:spid="_x0000_s4097" o:spt="136" type="#_x0000_t136" style="position:absolute;left:0pt;height:40.25pt;width:282.8pt;mso-position-horizontal:center;mso-position-horizontal-relative:margin;mso-position-vertical:center;mso-position-vertical-relative:margin;rotation:-2949120f;z-index:-251656192;mso-width-relative:page;mso-height-relative:page;" fillcolor="#FF0000" filled="t" stroked="f" coordsize="21600,21600" adj="10800">
          <v:path/>
          <v:fill on="t" opacity="39321f" focussize="0,0"/>
          <v:stroke on="f"/>
          <v:imagedata o:title=""/>
          <o:lock v:ext="edit" aspectratio="t"/>
          <v:textpath on="t" fitshape="t" fitpath="t" trim="t" xscale="f" string="华为技术有限公司" style="font-family:新宋体;font-size:40pt;v-same-letter-heights:f;v-text-align:center;"/>
        </v:shape>
      </w:pict>
    </w:r>
    <w:r>
      <w:rPr>
        <w:rFonts w:hint="eastAsia" w:ascii="微软雅黑" w:hAnsi="微软雅黑" w:eastAsia="微软雅黑" w:cs="微软雅黑"/>
        <w:b/>
        <w:bCs/>
        <w:color w:val="FF0000"/>
        <w:sz w:val="40"/>
        <w:szCs w:val="56"/>
        <w:lang w:val="en-US" w:eastAsia="zh-CN"/>
      </w:rPr>
      <w:t>HUAWEI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eastAsia" w:ascii="微软雅黑" w:hAnsi="微软雅黑" w:eastAsia="微软雅黑" w:cs="微软雅黑"/>
        <w:b/>
        <w:bCs/>
        <w:color w:val="FF0000"/>
        <w:sz w:val="40"/>
        <w:szCs w:val="56"/>
        <w:lang w:val="en-US" w:eastAsia="zh-CN"/>
      </w:rPr>
    </w:pPr>
    <w:r>
      <w:rPr>
        <w:rFonts w:hint="eastAsia" w:ascii="微软雅黑" w:hAnsi="微软雅黑" w:eastAsia="微软雅黑" w:cs="微软雅黑"/>
        <w:b/>
        <w:bCs/>
        <w:color w:val="FF0000"/>
        <w:sz w:val="40"/>
        <w:szCs w:val="56"/>
        <w:lang w:val="en-US" w:eastAsia="zh-CN"/>
      </w:rPr>
      <w:t>华为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711757"/>
    <w:multiLevelType w:val="singleLevel"/>
    <w:tmpl w:val="4A711757"/>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gutterAtTop/>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QwNzdkNTI0ZmEyODlhNmVjYjU4ZGU0YTBmMWRhMTcifQ=="/>
  </w:docVars>
  <w:rsids>
    <w:rsidRoot w:val="00000000"/>
    <w:rsid w:val="003A1986"/>
    <w:rsid w:val="036B7036"/>
    <w:rsid w:val="05CB200E"/>
    <w:rsid w:val="061C5C2A"/>
    <w:rsid w:val="065C4434"/>
    <w:rsid w:val="08810156"/>
    <w:rsid w:val="0D4C0EDA"/>
    <w:rsid w:val="0E4F5ED2"/>
    <w:rsid w:val="0FFD0DD0"/>
    <w:rsid w:val="14442BDD"/>
    <w:rsid w:val="19FD4436"/>
    <w:rsid w:val="1B373F76"/>
    <w:rsid w:val="295C7966"/>
    <w:rsid w:val="2A475858"/>
    <w:rsid w:val="2C536736"/>
    <w:rsid w:val="371D62BE"/>
    <w:rsid w:val="389D76B7"/>
    <w:rsid w:val="3E52684D"/>
    <w:rsid w:val="415B15A7"/>
    <w:rsid w:val="4168733B"/>
    <w:rsid w:val="42F03E6F"/>
    <w:rsid w:val="4309758C"/>
    <w:rsid w:val="43435355"/>
    <w:rsid w:val="46916381"/>
    <w:rsid w:val="4AB0763B"/>
    <w:rsid w:val="4D00488D"/>
    <w:rsid w:val="4E3C6BD2"/>
    <w:rsid w:val="4E514340"/>
    <w:rsid w:val="505E1082"/>
    <w:rsid w:val="50EF2622"/>
    <w:rsid w:val="510C00A7"/>
    <w:rsid w:val="5ACC12DE"/>
    <w:rsid w:val="5C5B22D3"/>
    <w:rsid w:val="61440E5B"/>
    <w:rsid w:val="669B5489"/>
    <w:rsid w:val="684845FE"/>
    <w:rsid w:val="697531CB"/>
    <w:rsid w:val="6C4A1138"/>
    <w:rsid w:val="6E396B62"/>
    <w:rsid w:val="71FA699A"/>
    <w:rsid w:val="72580A84"/>
    <w:rsid w:val="76B63A8B"/>
    <w:rsid w:val="77023BAE"/>
    <w:rsid w:val="77B50E7D"/>
    <w:rsid w:val="7FAA15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2023-11-11T05:11:00Z</dcterms:created>
  <dc:creator>84394</dc:creator>
  <cp:lastModifiedBy>湖北技能高考-陈欢</cp:lastModifiedBy>
  <dcterms:modified xsi:type="dcterms:W3CDTF">2025-11-17T09:21:10Z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133C6F2BB71948D5A9A78937D6D81665_12</vt:lpwstr>
  </property>
</Properties>
</file>