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w:r>
        <w:rPr>
          <w:sz w:val="24"/>
        </w:rPr>
        <mc:AlternateContent>
          <mc:Choice Requires="wps">
            <w:drawing>
              <wp:anchor distT="0" distB="0" distL="114935" distR="114935" simplePos="0" relativeHeight="251659264" behindDoc="0" locked="0" layoutInCell="1" allowOverlap="1">
                <wp:simplePos x="0" y="0"/>
                <wp:positionH relativeFrom="margin">
                  <wp:align>left</wp:align>
                </wp:positionH>
                <wp:positionV relativeFrom="margin">
                  <wp:align>top</wp:align>
                </wp:positionV>
                <wp:extent cx="504190" cy="1800225"/>
                <wp:effectExtent l="12700" t="12700" r="16510" b="15875"/>
                <wp:wrapSquare wrapText="bothSides"/>
                <wp:docPr id="1" name="文本框 1"/>
                <wp:cNvGraphicFramePr/>
                <a:graphic xmlns:a="http://schemas.openxmlformats.org/drawingml/2006/main">
                  <a:graphicData uri="http://schemas.microsoft.com/office/word/2010/wordprocessingShape">
                    <wps:wsp>
                      <wps:cNvSpPr txBox="1"/>
                      <wps:spPr>
                        <a:xfrm>
                          <a:off x="1184910" y="925195"/>
                          <a:ext cx="504190" cy="1800225"/>
                        </a:xfrm>
                        <a:prstGeom prst="rect">
                          <a:avLst/>
                        </a:prstGeom>
                        <a:solidFill>
                          <a:srgbClr val="FFC000"/>
                        </a:solidFill>
                        <a:ln w="25400">
                          <a:solidFill>
                            <a:srgbClr val="0070C0"/>
                          </a:solidFill>
                          <a:prstDash val="sysDash"/>
                        </a:ln>
                      </wps:spPr>
                      <wps:style>
                        <a:lnRef idx="0">
                          <a:schemeClr val="accent1"/>
                        </a:lnRef>
                        <a:fillRef idx="0">
                          <a:schemeClr val="accent1"/>
                        </a:fillRef>
                        <a:effectRef idx="0">
                          <a:schemeClr val="accent1"/>
                        </a:effectRef>
                        <a:fontRef idx="minor">
                          <a:schemeClr val="dk1"/>
                        </a:fontRef>
                      </wps:style>
                      <wps:txbx>
                        <w:txbxContent>
                          <w:p>
                            <w:pPr>
                              <w:jc w:val="center"/>
                              <w:rPr>
                                <w:rFonts w:hint="eastAsia" w:ascii="楷体" w:hAnsi="楷体" w:eastAsia="楷体" w:cs="楷体"/>
                                <w:b/>
                                <w:bCs/>
                                <w:color w:val="0070C0"/>
                                <w:sz w:val="36"/>
                                <w:szCs w:val="36"/>
                                <w:lang w:val="en-US" w:eastAsia="zh-CN"/>
                              </w:rPr>
                            </w:pPr>
                            <w:r>
                              <w:rPr>
                                <w:rFonts w:hint="eastAsia" w:ascii="楷体" w:hAnsi="楷体" w:eastAsia="楷体" w:cs="楷体"/>
                                <w:b/>
                                <w:bCs/>
                                <w:color w:val="0070C0"/>
                                <w:sz w:val="36"/>
                                <w:szCs w:val="36"/>
                                <w:lang w:val="en-US" w:eastAsia="zh-CN"/>
                              </w:rPr>
                              <w:t>技能测试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height:141.75pt;width:39.7pt;mso-position-horizontal:left;mso-position-horizontal-relative:margin;mso-position-vertical:top;mso-position-vertical-relative:margin;mso-wrap-distance-bottom:0pt;mso-wrap-distance-left:9.05pt;mso-wrap-distance-right:9.05pt;mso-wrap-distance-top:0pt;z-index:251659264;mso-width-relative:page;mso-height-relative:page;" fillcolor="#FFC000" filled="t" stroked="t" coordsize="21600,21600" o:gfxdata="UEsDBAoAAAAAAIdO4kAAAAAAAAAAAAAAAAAEAAAAZHJzL1BLAwQUAAAACACHTuJA2CC2x9cAAAAE&#10;AQAADwAAAGRycy9kb3ducmV2LnhtbE2PQU/CQBCF7yT+h82QeIMtKAilW2JM9KQJIEGP2+7QVndn&#10;m+5S8N87etHLJC/v5b1vsvXFWdFjFxpPCibjBARS6U1DlYL96+NoASJETUZbT6jgCwOs86tBplPj&#10;z7TFfhcrwSUUUq2gjrFNpQxljU6HsW+R2Dv6zunIsquk6fSZy52V0ySZS6cb4oVat/hQY/m5OzkF&#10;5cdycz/v346H5/fGzjbbp5e2cEpdDyfJCkTES/wLww8+o0POTIU/kQnCKuBH4u9l7255C6JQMF3c&#10;zEDmmfwPn38DUEsDBBQAAAAIAIdO4kBTe+tccAIAAOEEAAAOAAAAZHJzL2Uyb0RvYy54bWytVEtu&#10;2zAQ3RfoHQjua31gN7EROXBtuCgQNAHSz5qmKIsAxWFJ2pJ7gPYGWXXTfc+Vc3RIKYmbBkUW3ZAz&#10;nKc3M49DnZ13jSJ7YZ0EXdBslFIiNIdS6m1BP35YvzqlxHmmS6ZAi4IehKPn85cvzlozEznUoEph&#10;CZJoN2tNQWvvzSxJHK9Fw9wIjNAYrMA2zKNrt0lpWYvsjUryNH2dtGBLY4EL5/B01QfpwGifQwhV&#10;JblYAd81Qvue1QrFPLbkamkcncdqq0pwf1lVTniiCoqd+rhiErQ3YU3mZ2y2tczUkg8lsOeU8Kin&#10;hkmNSe+pVswzsrPyL6pGcgsOKj/i0CR9I1ER7CJLH2lzXTMjYi8otTP3orv/R8vf768skSVOAiWa&#10;NXjhtzffb3/8uv35jWRBnta4GaKuDeJ89wa6AB3OHR6GrrvKNmHHfkiIZ6fjaYYSHwo6zSfZdNLr&#10;LDpPOMYn6TibYphjPDtN0zyPgOSByFjn3wpoSDAKavEeo7xsf+E8JkfoHSTkdaBkuZZKRcduN0tl&#10;yZ7hna/XyzSN14yf/AFTmrQFzSdjDP+bI01P0uWTHKGGFXN1n8sdXHBCr5hMadyCeL1IwfLdphuU&#10;20B5QEEt9BPpDF9LJLtgzl8xiyOI8uAj9Ze4VAqwUhgsSmqwX586D/iCCvYJd0paHOqCui87ZgUl&#10;6p3GqZlm4zES++iMJyc5OvY4sjmO6F2zBNQQJwPri2bAe3VnVhaaz/iaFyEvhpjmWFtBMXtvLn3/&#10;1PBvwMViEUE494b5C31teKAO0mtY7DxUMt5sEKpXZ9APJz8KOrzS8LSO/Yh6+DPN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YILbH1wAAAAQBAAAPAAAAAAAAAAEAIAAAACIAAABkcnMvZG93bnJl&#10;di54bWxQSwECFAAUAAAACACHTuJAU3vrXHACAADhBAAADgAAAAAAAAABACAAAAAmAQAAZHJzL2Uy&#10;b0RvYy54bWxQSwUGAAAAAAYABgBZAQAACAYAAAAA&#10;">
                <v:fill on="t" focussize="0,0"/>
                <v:stroke weight="2pt" color="#0070C0 [3204]" joinstyle="round" dashstyle="3 1"/>
                <v:imagedata o:title=""/>
                <o:lock v:ext="edit" aspectratio="f"/>
                <v:textbox style="layout-flow:vertical-ideographic;">
                  <w:txbxContent>
                    <w:p>
                      <w:pPr>
                        <w:jc w:val="center"/>
                        <w:rPr>
                          <w:rFonts w:hint="eastAsia" w:ascii="楷体" w:hAnsi="楷体" w:eastAsia="楷体" w:cs="楷体"/>
                          <w:b/>
                          <w:bCs/>
                          <w:color w:val="0070C0"/>
                          <w:sz w:val="36"/>
                          <w:szCs w:val="36"/>
                          <w:lang w:val="en-US" w:eastAsia="zh-CN"/>
                        </w:rPr>
                      </w:pPr>
                      <w:r>
                        <w:rPr>
                          <w:rFonts w:hint="eastAsia" w:ascii="楷体" w:hAnsi="楷体" w:eastAsia="楷体" w:cs="楷体"/>
                          <w:b/>
                          <w:bCs/>
                          <w:color w:val="0070C0"/>
                          <w:sz w:val="36"/>
                          <w:szCs w:val="36"/>
                          <w:lang w:val="en-US" w:eastAsia="zh-CN"/>
                        </w:rPr>
                        <w:t>技能测试</w:t>
                      </w:r>
                    </w:p>
                  </w:txbxContent>
                </v:textbox>
                <w10:wrap type="square"/>
              </v:shape>
            </w:pict>
          </mc:Fallback>
        </mc:AlternateContent>
      </w:r>
      <w:r>
        <w:rPr>
          <w:rFonts w:hint="eastAsia"/>
          <w:sz w:val="24"/>
          <w:szCs w:val="24"/>
        </w:rPr>
        <w:t>湖北准易教育研究院一直潜心耕耘在湖北技能高考教科研的第一线，自成立以来，始终坚持为“中职学校师生”服务，为湖北中职学校的教学、科研、考试服务，坚持“突出技能高考”的工作特色，自主研发的“天天乐学”考试平台，为各校检查教学质量提供有力保障。专业课、文化课调考两种考试模式已成为各中职学校检测和诊断教学效果的必选“工具”，考试结果分析也成为各校老师们教学的重要参考数据。我院会继续把两项考试作为重点工作来抓，精心组织试卷、科学设计时间，并在创新中一直持续下去。现将2022年3月调考安排有关事项说明如下：</w:t>
      </w:r>
    </w:p>
    <w:p>
      <w:pPr>
        <w:keepNext w:val="0"/>
        <w:keepLines w:val="0"/>
        <w:pageBreakBefore w:val="0"/>
        <w:widowControl w:val="0"/>
        <w:kinsoku/>
        <w:wordWrap/>
        <w:overflowPunct/>
        <w:topLinePunct w:val="0"/>
        <w:autoSpaceDE/>
        <w:autoSpaceDN/>
        <w:bidi w:val="0"/>
        <w:adjustRightInd/>
        <w:snapToGrid/>
        <w:spacing w:before="188" w:beforeLines="60" w:after="188" w:afterLines="60"/>
        <w:ind w:firstLine="560" w:firstLineChars="200"/>
        <w:textAlignment w:val="auto"/>
        <w:rPr>
          <w:rFonts w:hint="eastAsia"/>
          <w:sz w:val="24"/>
          <w:szCs w:val="24"/>
        </w:rPr>
      </w:pPr>
      <w:r>
        <w:rPr>
          <w:rFonts w:hint="eastAsia"/>
          <w:color w:val="C00000"/>
          <w:sz w:val="28"/>
          <w:szCs w:val="28"/>
          <w:bdr w:val="single" w:color="FF0000" w:sz="24" w:space="0"/>
          <w:shd w:val="clear" w:fill="00B0F0"/>
        </w:rPr>
        <w:t>专业课调考</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本次专业课调考采用“手机端”和“电脑端”任选一种方式，全真模拟，帮助即将参加高考的学生做考前最后一次检测诊断；购湖北准易教育研究院出版的高三专业课应知、应会全套或有天天乐学考试平台（服务期内）的学校免费提供专业课3月调考服务。</w:t>
      </w:r>
    </w:p>
    <w:p>
      <w:pPr>
        <w:keepNext w:val="0"/>
        <w:keepLines w:val="0"/>
        <w:pageBreakBefore w:val="0"/>
        <w:widowControl w:val="0"/>
        <w:kinsoku/>
        <w:wordWrap/>
        <w:overflowPunct/>
        <w:topLinePunct w:val="0"/>
        <w:autoSpaceDE/>
        <w:autoSpaceDN/>
        <w:bidi w:val="0"/>
        <w:adjustRightInd/>
        <w:snapToGrid/>
        <w:spacing w:before="188" w:beforeLines="60" w:after="188" w:afterLines="60"/>
        <w:ind w:firstLine="560" w:firstLineChars="200"/>
        <w:textAlignment w:val="auto"/>
        <w:rPr>
          <w:rFonts w:hint="eastAsia"/>
          <w:color w:val="C00000"/>
          <w:sz w:val="28"/>
          <w:szCs w:val="28"/>
          <w:bdr w:val="single" w:color="FF0000" w:sz="24" w:space="0"/>
          <w:shd w:val="clear" w:fill="00B0F0"/>
        </w:rPr>
      </w:pPr>
      <w:r>
        <w:rPr>
          <w:rFonts w:hint="eastAsia"/>
          <w:color w:val="C00000"/>
          <w:sz w:val="28"/>
          <w:szCs w:val="28"/>
          <w:bdr w:val="single" w:color="FF0000" w:sz="24" w:space="0"/>
          <w:shd w:val="clear" w:fill="00B0F0"/>
        </w:rPr>
        <w:t>文化课调考</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sectPr>
          <w:headerReference r:id="rId4" w:type="first"/>
          <w:footerReference r:id="rId6" w:type="first"/>
          <w:headerReference r:id="rId3" w:type="default"/>
          <w:footerReference r:id="rId5" w:type="default"/>
          <w:pgSz w:w="11906" w:h="16838"/>
          <w:pgMar w:top="1440" w:right="1800" w:bottom="1440" w:left="1800" w:header="851" w:footer="992" w:gutter="0"/>
          <w:pgBorders>
            <w:top w:val="triple" w:color="FFC000" w:sz="4" w:space="1"/>
            <w:left w:val="triple" w:color="FFC000" w:sz="4" w:space="4"/>
            <w:bottom w:val="triple" w:color="FFC000" w:sz="4" w:space="1"/>
            <w:right w:val="triple" w:color="FFC000" w:sz="4" w:space="4"/>
          </w:pgBorders>
          <w:pgNumType w:fmt="chineseCounting" w:start="2"/>
          <w:cols w:space="425" w:num="1"/>
          <w:titlePg/>
          <w:docGrid w:type="lines" w:linePitch="312" w:charSpace="0"/>
        </w:sect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sectPr>
          <w:type w:val="continuous"/>
          <w:pgSz w:w="11906" w:h="16838"/>
          <w:pgMar w:top="1440" w:right="1800" w:bottom="1440" w:left="1800" w:header="851" w:footer="992" w:gutter="0"/>
          <w:pgBorders>
            <w:top w:val="triple" w:color="FFC000" w:sz="4" w:space="1"/>
            <w:left w:val="triple" w:color="FFC000" w:sz="4" w:space="4"/>
            <w:bottom w:val="triple" w:color="FFC000" w:sz="4" w:space="1"/>
            <w:right w:val="triple" w:color="FFC000" w:sz="4" w:space="4"/>
          </w:pgBorders>
          <w:pgNumType w:fmt="chineseCounting"/>
          <w:cols w:space="1280" w:num="2" w:sep="1"/>
          <w:docGrid w:type="lines" w:linePitch="312" w:charSpace="0"/>
        </w:sectPr>
      </w:pPr>
      <w:r>
        <w:rPr>
          <w:rFonts w:hint="eastAsia"/>
          <w:sz w:val="24"/>
          <w:szCs w:val="24"/>
        </w:rPr>
        <w:t>湖北准易教育研究院组织的文化课联考，是中职类学校技能高考复习备考模拟性检测考试，旨在使师生在技能高考前充分了解技能高考，适应技能考试，考试按技能高考的标高，包括考试模式、题型、题量、难度、区分度等要求来检测质量，查缺补漏，提高应考水平和能力。文化课调考一年两次（分秋季、春季）进行调考，全省2022年春季文化课调考五月初举行。</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w:p>
    <w:p>
      <w:pPr>
        <w:keepNext w:val="0"/>
        <w:keepLines w:val="0"/>
        <w:pageBreakBefore w:val="0"/>
        <w:widowControl w:val="0"/>
        <w:kinsoku/>
        <w:wordWrap/>
        <w:overflowPunct/>
        <w:topLinePunct w:val="0"/>
        <w:autoSpaceDE/>
        <w:autoSpaceDN/>
        <w:bidi w:val="0"/>
        <w:adjustRightInd/>
        <w:snapToGrid/>
        <w:spacing w:before="188" w:beforeLines="60" w:after="188" w:afterLines="60"/>
        <w:ind w:firstLine="560" w:firstLineChars="200"/>
        <w:textAlignment w:val="auto"/>
        <w:rPr>
          <w:rFonts w:hint="eastAsia"/>
          <w:color w:val="C00000"/>
          <w:sz w:val="28"/>
          <w:szCs w:val="28"/>
          <w:bdr w:val="single" w:color="FF0000" w:sz="24" w:space="0"/>
          <w:shd w:val="clear" w:fill="00B0F0"/>
        </w:rPr>
      </w:pPr>
      <w:r>
        <w:rPr>
          <w:rFonts w:hint="eastAsia"/>
          <w:color w:val="C00000"/>
          <w:sz w:val="28"/>
          <w:szCs w:val="28"/>
          <w:bdr w:val="single" w:color="FF0000" w:sz="24" w:space="0"/>
          <w:shd w:val="clear" w:fill="00B0F0"/>
        </w:rPr>
        <w:t>调考性质和目的</w:t>
      </w:r>
    </w:p>
    <w:p>
      <w:pPr>
        <w:keepNext/>
        <w:framePr w:dropCap="drop" w:lines="2" w:hSpace="113" w:wrap="around" w:vAnchor="text" w:hAnchor="text"/>
        <w:widowControl w:val="0"/>
        <w:spacing w:after="0" w:afterLines="0" w:line="619" w:lineRule="exact"/>
        <w:jc w:val="both"/>
        <w:textAlignment w:val="baseline"/>
        <w:rPr>
          <w:rFonts w:hint="eastAsia" w:ascii="黑体" w:hAnsi="黑体" w:eastAsia="黑体" w:cs="黑体"/>
          <w:position w:val="0"/>
          <w:sz w:val="54"/>
          <w:szCs w:val="54"/>
        </w:rPr>
      </w:pPr>
      <w:r>
        <w:rPr>
          <w:rFonts w:hint="eastAsia" w:ascii="黑体" w:hAnsi="黑体" w:eastAsia="黑体" w:cs="黑体"/>
          <w:position w:val="0"/>
          <w:sz w:val="54"/>
          <w:szCs w:val="54"/>
        </w:rPr>
        <w:t>湖</w:t>
      </w:r>
    </w:p>
    <w:p>
      <w:pPr>
        <w:pageBreakBefore w:val="0"/>
        <w:ind w:firstLine="0" w:firstLineChars="0"/>
        <w:rPr>
          <w:rFonts w:hint="eastAsia"/>
          <w:sz w:val="24"/>
          <w:szCs w:val="24"/>
        </w:rPr>
      </w:pPr>
      <w:r>
        <w:rPr>
          <w:rFonts w:hint="eastAsia"/>
          <w:sz w:val="24"/>
          <w:szCs w:val="24"/>
        </w:rPr>
        <w:t xml:space="preserve">北准易教育研究院组成全省技能高考专业课调考命题考务组，深入研究分析历年考试特点和规律，聘请具有丰富教学和命题经验的专家命题，“调考”紧扣大纲，以高质量的调考题源，来帮助各校检测秋季开学来的教学质量，正确引导最后冲刺阶段教学备考方向。湖北准易教育研究院组织的全省调考对各中职学校的教学、复习备考具有很大的促进作用，可以与其它学校进行横向成绩比较分析、找出复习备考中存在的问题，帮助各中职学校学生精准定位并了解知识点掌握的情况，便于学校及时调整备考策略，方便学生自主巩固查缺补漏。 </w:t>
      </w:r>
    </w:p>
    <w:p>
      <w:pPr>
        <w:keepNext w:val="0"/>
        <w:keepLines w:val="0"/>
        <w:pageBreakBefore w:val="0"/>
        <w:widowControl w:val="0"/>
        <w:kinsoku/>
        <w:wordWrap/>
        <w:overflowPunct/>
        <w:topLinePunct w:val="0"/>
        <w:autoSpaceDE/>
        <w:autoSpaceDN/>
        <w:bidi w:val="0"/>
        <w:adjustRightInd/>
        <w:snapToGrid/>
        <w:spacing w:before="188" w:beforeLines="60" w:after="188" w:afterLines="60"/>
        <w:ind w:firstLine="560" w:firstLineChars="200"/>
        <w:textAlignment w:val="auto"/>
        <w:rPr>
          <w:rFonts w:hint="eastAsia"/>
          <w:color w:val="C00000"/>
          <w:sz w:val="28"/>
          <w:szCs w:val="28"/>
          <w:bdr w:val="single" w:color="FF0000" w:sz="24" w:space="0"/>
          <w:shd w:val="clear" w:fill="00B0F0"/>
        </w:rPr>
      </w:pPr>
      <w:r>
        <w:rPr>
          <w:rFonts w:hint="eastAsia"/>
          <w:color w:val="C00000"/>
          <w:sz w:val="28"/>
          <w:szCs w:val="28"/>
          <w:bdr w:val="single" w:color="FF0000" w:sz="24" w:space="0"/>
          <w:shd w:val="clear" w:fill="00B0F0"/>
        </w:rPr>
        <w:t>考试内容和形式</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专业课调考严格按照湖北省最新考试大纲来布置题型结构，涵盖所有知识点，本次采用电脑端和手机端两种模式（计算机专业仅限电脑端考）。本次考试全省联动，为保证考试的严肃性、公正性，每场考生提交试卷后会显示考试得分，我院为学生提供成绩查询平台，为学校提供管理员帐户供学校查询同级专业对比分析详细数据，以及全省考试数据结果。</w:t>
      </w:r>
    </w:p>
    <w:p>
      <w:pPr>
        <w:keepNext w:val="0"/>
        <w:keepLines w:val="0"/>
        <w:pageBreakBefore w:val="0"/>
        <w:widowControl w:val="0"/>
        <w:kinsoku/>
        <w:wordWrap/>
        <w:overflowPunct/>
        <w:topLinePunct w:val="0"/>
        <w:autoSpaceDE/>
        <w:autoSpaceDN/>
        <w:bidi w:val="0"/>
        <w:adjustRightInd/>
        <w:snapToGrid/>
        <w:spacing w:before="188" w:beforeLines="60" w:after="188" w:afterLines="60"/>
        <w:ind w:firstLine="480" w:firstLineChars="200"/>
        <w:textAlignment w:val="auto"/>
        <w:rPr>
          <w:rFonts w:hint="eastAsia"/>
          <w:sz w:val="24"/>
          <w:szCs w:val="24"/>
        </w:rPr>
      </w:pPr>
      <w:r>
        <w:rPr>
          <w:rFonts w:hint="eastAsia" w:eastAsia="仿宋_GB2312"/>
          <w:sz w:val="24"/>
          <w:szCs w:val="24"/>
          <w:lang w:eastAsia="zh-CN"/>
        </w:rPr>
        <w:drawing>
          <wp:anchor distT="0" distB="0" distL="114935" distR="114935" simplePos="0" relativeHeight="251660288" behindDoc="0" locked="0" layoutInCell="1" allowOverlap="1">
            <wp:simplePos x="0" y="0"/>
            <wp:positionH relativeFrom="column">
              <wp:posOffset>3476625</wp:posOffset>
            </wp:positionH>
            <wp:positionV relativeFrom="paragraph">
              <wp:posOffset>629920</wp:posOffset>
            </wp:positionV>
            <wp:extent cx="1800225" cy="2519680"/>
            <wp:effectExtent l="0" t="0" r="9525" b="13970"/>
            <wp:wrapSquare wrapText="bothSides"/>
            <wp:docPr id="4" name="图片 4" descr="素材1"/>
            <wp:cNvGraphicFramePr/>
            <a:graphic xmlns:a="http://schemas.openxmlformats.org/drawingml/2006/main">
              <a:graphicData uri="http://schemas.openxmlformats.org/drawingml/2006/picture">
                <pic:pic xmlns:pic="http://schemas.openxmlformats.org/drawingml/2006/picture">
                  <pic:nvPicPr>
                    <pic:cNvPr id="4" name="图片 4" descr="素材1"/>
                    <pic:cNvPicPr/>
                  </pic:nvPicPr>
                  <pic:blipFill>
                    <a:blip r:embed="rId8"/>
                    <a:stretch>
                      <a:fillRect/>
                    </a:stretch>
                  </pic:blipFill>
                  <pic:spPr>
                    <a:xfrm>
                      <a:off x="0" y="0"/>
                      <a:ext cx="1800225" cy="2519680"/>
                    </a:xfrm>
                    <a:prstGeom prst="rect">
                      <a:avLst/>
                    </a:prstGeom>
                    <a:effectLst>
                      <a:softEdge rad="63500"/>
                    </a:effectLst>
                  </pic:spPr>
                </pic:pic>
              </a:graphicData>
            </a:graphic>
          </wp:anchor>
        </w:drawing>
      </w:r>
      <w:r>
        <w:rPr>
          <w:rFonts w:hint="eastAsia"/>
          <w:color w:val="C00000"/>
          <w:sz w:val="28"/>
          <w:szCs w:val="28"/>
          <w:bdr w:val="single" w:color="FF0000" w:sz="24" w:space="0"/>
          <w:shd w:val="clear" w:fill="00B0F0"/>
        </w:rPr>
        <w:t>专业课调考报名、考试方式</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首次参加调考的学校必须按照报名表格式，填写好请发邮件至2405229020@qq.com邮箱中，参加调考的学校请提前组织学生于3月16日（非计算机专业）登录调考平台，便于提前检测考生是否能正常登录调考平台（电脑端、手机端）。本次调考计算机专业仅限电脑端考试，考生登录天天乐学考试端，使用身份证号、密码登录即可开始考试。参加本次专业课调考的学校和学生，本次调考会按班级、按各专业小题科目等分开统计科目得分，方便同专业不同科目知识点的老师了解自己学生知识点掌握的详细情况。学校需提前组织学生熟悉登录电脑端、手机端，以免考试时无法登录参加考试。</w:t>
      </w:r>
    </w:p>
    <w:tbl>
      <w:tblPr>
        <w:tblStyle w:val="5"/>
        <w:tblW w:w="0" w:type="auto"/>
        <w:jc w:val="center"/>
        <w:tblBorders>
          <w:top w:val="single" w:color="002060" w:sz="12" w:space="0"/>
          <w:left w:val="single" w:color="002060" w:sz="12" w:space="0"/>
          <w:bottom w:val="single" w:color="002060" w:sz="12" w:space="0"/>
          <w:right w:val="single" w:color="002060" w:sz="12" w:space="0"/>
          <w:insideH w:val="single" w:color="0070C0" w:sz="8" w:space="0"/>
          <w:insideV w:val="single" w:color="0070C0" w:sz="8" w:space="0"/>
        </w:tblBorders>
        <w:tblLayout w:type="autofit"/>
        <w:tblCellMar>
          <w:top w:w="0" w:type="dxa"/>
          <w:left w:w="108" w:type="dxa"/>
          <w:bottom w:w="0" w:type="dxa"/>
          <w:right w:w="108" w:type="dxa"/>
        </w:tblCellMar>
      </w:tblPr>
      <w:tblGrid>
        <w:gridCol w:w="1701"/>
        <w:gridCol w:w="1701"/>
        <w:gridCol w:w="1701"/>
        <w:gridCol w:w="1701"/>
      </w:tblGrid>
      <w:tr>
        <w:tblPrEx>
          <w:tblBorders>
            <w:top w:val="single" w:color="002060" w:sz="12" w:space="0"/>
            <w:left w:val="single" w:color="002060" w:sz="12" w:space="0"/>
            <w:bottom w:val="single" w:color="002060" w:sz="12" w:space="0"/>
            <w:right w:val="single" w:color="002060" w:sz="12" w:space="0"/>
            <w:insideH w:val="single" w:color="0070C0" w:sz="8" w:space="0"/>
            <w:insideV w:val="single" w:color="0070C0" w:sz="8" w:space="0"/>
          </w:tblBorders>
          <w:tblCellMar>
            <w:top w:w="0" w:type="dxa"/>
            <w:left w:w="108" w:type="dxa"/>
            <w:bottom w:w="0" w:type="dxa"/>
            <w:right w:w="108" w:type="dxa"/>
          </w:tblCellMar>
        </w:tblPrEx>
        <w:trPr>
          <w:trHeight w:val="283" w:hRule="atLeast"/>
          <w:jc w:val="center"/>
        </w:trPr>
        <w:tc>
          <w:tcPr>
            <w:tcW w:w="1701" w:type="dxa"/>
            <w:tcBorders>
              <w:tl2br w:val="nil"/>
              <w:tr2bl w:val="nil"/>
            </w:tcBorders>
            <w:vAlign w:val="top"/>
          </w:tcPr>
          <w:p>
            <w:pPr>
              <w:bidi w:val="0"/>
              <w:jc w:val="left"/>
              <w:rPr>
                <w:rFonts w:hint="eastAsia" w:ascii="Times New Roman" w:hAnsi="Times New Roman" w:eastAsia="仿宋_GB2312" w:cs="Times New Roman"/>
                <w:kern w:val="2"/>
                <w:sz w:val="32"/>
                <w:vertAlign w:val="baseline"/>
                <w:lang w:val="en-US" w:eastAsia="zh-CN" w:bidi="ar-SA"/>
              </w:rPr>
            </w:pPr>
          </w:p>
        </w:tc>
        <w:tc>
          <w:tcPr>
            <w:tcW w:w="1701" w:type="dxa"/>
            <w:tcBorders>
              <w:tl2br w:val="nil"/>
              <w:tr2bl w:val="nil"/>
            </w:tcBorders>
            <w:vAlign w:val="top"/>
          </w:tcPr>
          <w:p>
            <w:pPr>
              <w:bidi w:val="0"/>
              <w:jc w:val="left"/>
              <w:rPr>
                <w:rFonts w:hint="eastAsia" w:ascii="Times New Roman" w:hAnsi="Times New Roman" w:eastAsia="仿宋_GB2312" w:cs="Times New Roman"/>
                <w:kern w:val="2"/>
                <w:sz w:val="32"/>
                <w:vertAlign w:val="baseline"/>
                <w:lang w:val="en-US" w:eastAsia="zh-CN" w:bidi="ar-SA"/>
              </w:rPr>
            </w:pPr>
          </w:p>
        </w:tc>
        <w:tc>
          <w:tcPr>
            <w:tcW w:w="1701" w:type="dxa"/>
            <w:tcBorders>
              <w:tl2br w:val="nil"/>
              <w:tr2bl w:val="nil"/>
            </w:tcBorders>
            <w:vAlign w:val="top"/>
          </w:tcPr>
          <w:p>
            <w:pPr>
              <w:bidi w:val="0"/>
              <w:jc w:val="left"/>
              <w:rPr>
                <w:rFonts w:hint="eastAsia" w:ascii="Times New Roman" w:hAnsi="Times New Roman" w:eastAsia="仿宋_GB2312" w:cs="Times New Roman"/>
                <w:kern w:val="2"/>
                <w:sz w:val="32"/>
                <w:vertAlign w:val="baseline"/>
                <w:lang w:val="en-US" w:eastAsia="zh-CN" w:bidi="ar-SA"/>
              </w:rPr>
            </w:pPr>
          </w:p>
        </w:tc>
        <w:tc>
          <w:tcPr>
            <w:tcW w:w="1701" w:type="dxa"/>
            <w:tcBorders>
              <w:tl2br w:val="nil"/>
              <w:tr2bl w:val="nil"/>
            </w:tcBorders>
            <w:vAlign w:val="top"/>
          </w:tcPr>
          <w:p>
            <w:pPr>
              <w:bidi w:val="0"/>
              <w:jc w:val="left"/>
              <w:rPr>
                <w:rFonts w:hint="eastAsia" w:ascii="Times New Roman" w:hAnsi="Times New Roman" w:eastAsia="仿宋_GB2312" w:cs="Times New Roman"/>
                <w:kern w:val="2"/>
                <w:sz w:val="32"/>
                <w:vertAlign w:val="baseline"/>
                <w:lang w:val="en-US" w:eastAsia="zh-CN" w:bidi="ar-SA"/>
              </w:rPr>
            </w:pPr>
          </w:p>
        </w:tc>
      </w:tr>
      <w:tr>
        <w:tblPrEx>
          <w:tblBorders>
            <w:top w:val="single" w:color="002060" w:sz="12" w:space="0"/>
            <w:left w:val="single" w:color="002060" w:sz="12" w:space="0"/>
            <w:bottom w:val="single" w:color="002060" w:sz="12" w:space="0"/>
            <w:right w:val="single" w:color="002060" w:sz="12" w:space="0"/>
            <w:insideH w:val="single" w:color="0070C0" w:sz="8" w:space="0"/>
            <w:insideV w:val="single" w:color="0070C0" w:sz="8" w:space="0"/>
          </w:tblBorders>
          <w:tblCellMar>
            <w:top w:w="0" w:type="dxa"/>
            <w:left w:w="108" w:type="dxa"/>
            <w:bottom w:w="0" w:type="dxa"/>
            <w:right w:w="108" w:type="dxa"/>
          </w:tblCellMar>
        </w:tblPrEx>
        <w:trPr>
          <w:trHeight w:val="283" w:hRule="atLeast"/>
          <w:jc w:val="center"/>
        </w:trPr>
        <w:tc>
          <w:tcPr>
            <w:tcW w:w="1701" w:type="dxa"/>
            <w:tcBorders>
              <w:tl2br w:val="nil"/>
              <w:tr2bl w:val="nil"/>
            </w:tcBorders>
            <w:vAlign w:val="top"/>
          </w:tcPr>
          <w:p>
            <w:pPr>
              <w:bidi w:val="0"/>
              <w:jc w:val="left"/>
              <w:rPr>
                <w:rFonts w:hint="eastAsia" w:ascii="Times New Roman" w:hAnsi="Times New Roman" w:eastAsia="仿宋_GB2312" w:cs="Times New Roman"/>
                <w:kern w:val="2"/>
                <w:sz w:val="32"/>
                <w:vertAlign w:val="baseline"/>
                <w:lang w:val="en-US" w:eastAsia="zh-CN" w:bidi="ar-SA"/>
              </w:rPr>
            </w:pPr>
          </w:p>
        </w:tc>
        <w:tc>
          <w:tcPr>
            <w:tcW w:w="1701" w:type="dxa"/>
            <w:tcBorders>
              <w:tl2br w:val="nil"/>
              <w:tr2bl w:val="nil"/>
            </w:tcBorders>
            <w:vAlign w:val="top"/>
          </w:tcPr>
          <w:p>
            <w:pPr>
              <w:bidi w:val="0"/>
              <w:jc w:val="left"/>
              <w:rPr>
                <w:rFonts w:hint="eastAsia" w:ascii="Times New Roman" w:hAnsi="Times New Roman" w:eastAsia="仿宋_GB2312" w:cs="Times New Roman"/>
                <w:kern w:val="2"/>
                <w:sz w:val="32"/>
                <w:vertAlign w:val="baseline"/>
                <w:lang w:val="en-US" w:eastAsia="zh-CN" w:bidi="ar-SA"/>
              </w:rPr>
            </w:pPr>
          </w:p>
        </w:tc>
        <w:tc>
          <w:tcPr>
            <w:tcW w:w="1701" w:type="dxa"/>
            <w:tcBorders>
              <w:tl2br w:val="nil"/>
              <w:tr2bl w:val="nil"/>
            </w:tcBorders>
            <w:vAlign w:val="top"/>
          </w:tcPr>
          <w:p>
            <w:pPr>
              <w:bidi w:val="0"/>
              <w:jc w:val="left"/>
              <w:rPr>
                <w:rFonts w:hint="eastAsia" w:ascii="Times New Roman" w:hAnsi="Times New Roman" w:eastAsia="仿宋_GB2312" w:cs="Times New Roman"/>
                <w:kern w:val="2"/>
                <w:sz w:val="32"/>
                <w:vertAlign w:val="baseline"/>
                <w:lang w:val="en-US" w:eastAsia="zh-CN" w:bidi="ar-SA"/>
              </w:rPr>
            </w:pPr>
          </w:p>
        </w:tc>
        <w:tc>
          <w:tcPr>
            <w:tcW w:w="1701" w:type="dxa"/>
            <w:tcBorders>
              <w:tl2br w:val="nil"/>
              <w:tr2bl w:val="nil"/>
            </w:tcBorders>
            <w:vAlign w:val="top"/>
          </w:tcPr>
          <w:p>
            <w:pPr>
              <w:bidi w:val="0"/>
              <w:jc w:val="left"/>
              <w:rPr>
                <w:rFonts w:hint="eastAsia" w:ascii="Times New Roman" w:hAnsi="Times New Roman" w:eastAsia="仿宋_GB2312" w:cs="Times New Roman"/>
                <w:kern w:val="2"/>
                <w:sz w:val="32"/>
                <w:vertAlign w:val="baseline"/>
                <w:lang w:val="en-US" w:eastAsia="zh-CN" w:bidi="ar-SA"/>
              </w:rPr>
            </w:pPr>
          </w:p>
        </w:tc>
      </w:tr>
      <w:tr>
        <w:tblPrEx>
          <w:tblBorders>
            <w:top w:val="single" w:color="002060" w:sz="12" w:space="0"/>
            <w:left w:val="single" w:color="002060" w:sz="12" w:space="0"/>
            <w:bottom w:val="single" w:color="002060" w:sz="12" w:space="0"/>
            <w:right w:val="single" w:color="002060" w:sz="12" w:space="0"/>
            <w:insideH w:val="single" w:color="0070C0" w:sz="8" w:space="0"/>
            <w:insideV w:val="single" w:color="0070C0" w:sz="8" w:space="0"/>
          </w:tblBorders>
          <w:tblCellMar>
            <w:top w:w="0" w:type="dxa"/>
            <w:left w:w="108" w:type="dxa"/>
            <w:bottom w:w="0" w:type="dxa"/>
            <w:right w:w="108" w:type="dxa"/>
          </w:tblCellMar>
        </w:tblPrEx>
        <w:trPr>
          <w:trHeight w:val="283" w:hRule="atLeast"/>
          <w:jc w:val="center"/>
        </w:trPr>
        <w:tc>
          <w:tcPr>
            <w:tcW w:w="1701" w:type="dxa"/>
            <w:tcBorders>
              <w:tl2br w:val="nil"/>
              <w:tr2bl w:val="nil"/>
            </w:tcBorders>
            <w:vAlign w:val="top"/>
          </w:tcPr>
          <w:p>
            <w:pPr>
              <w:bidi w:val="0"/>
              <w:jc w:val="left"/>
              <w:rPr>
                <w:rFonts w:hint="eastAsia" w:ascii="Times New Roman" w:hAnsi="Times New Roman" w:eastAsia="仿宋_GB2312" w:cs="Times New Roman"/>
                <w:kern w:val="2"/>
                <w:sz w:val="32"/>
                <w:vertAlign w:val="baseline"/>
                <w:lang w:val="en-US" w:eastAsia="zh-CN" w:bidi="ar-SA"/>
              </w:rPr>
            </w:pPr>
          </w:p>
        </w:tc>
        <w:tc>
          <w:tcPr>
            <w:tcW w:w="1701" w:type="dxa"/>
            <w:tcBorders>
              <w:tl2br w:val="nil"/>
              <w:tr2bl w:val="nil"/>
            </w:tcBorders>
            <w:vAlign w:val="top"/>
          </w:tcPr>
          <w:p>
            <w:pPr>
              <w:bidi w:val="0"/>
              <w:jc w:val="left"/>
              <w:rPr>
                <w:rFonts w:hint="eastAsia" w:ascii="Times New Roman" w:hAnsi="Times New Roman" w:eastAsia="仿宋_GB2312" w:cs="Times New Roman"/>
                <w:kern w:val="2"/>
                <w:sz w:val="32"/>
                <w:vertAlign w:val="baseline"/>
                <w:lang w:val="en-US" w:eastAsia="zh-CN" w:bidi="ar-SA"/>
              </w:rPr>
            </w:pPr>
          </w:p>
        </w:tc>
        <w:tc>
          <w:tcPr>
            <w:tcW w:w="1701" w:type="dxa"/>
            <w:tcBorders>
              <w:tl2br w:val="nil"/>
              <w:tr2bl w:val="nil"/>
            </w:tcBorders>
            <w:vAlign w:val="top"/>
          </w:tcPr>
          <w:p>
            <w:pPr>
              <w:bidi w:val="0"/>
              <w:jc w:val="left"/>
              <w:rPr>
                <w:rFonts w:hint="eastAsia" w:ascii="Times New Roman" w:hAnsi="Times New Roman" w:eastAsia="仿宋_GB2312" w:cs="Times New Roman"/>
                <w:kern w:val="2"/>
                <w:sz w:val="32"/>
                <w:vertAlign w:val="baseline"/>
                <w:lang w:val="en-US" w:eastAsia="zh-CN" w:bidi="ar-SA"/>
              </w:rPr>
            </w:pPr>
          </w:p>
        </w:tc>
        <w:tc>
          <w:tcPr>
            <w:tcW w:w="1701" w:type="dxa"/>
            <w:tcBorders>
              <w:tl2br w:val="nil"/>
              <w:tr2bl w:val="nil"/>
            </w:tcBorders>
            <w:vAlign w:val="top"/>
          </w:tcPr>
          <w:p>
            <w:pPr>
              <w:bidi w:val="0"/>
              <w:jc w:val="left"/>
              <w:rPr>
                <w:rFonts w:hint="eastAsia" w:ascii="Times New Roman" w:hAnsi="Times New Roman" w:eastAsia="仿宋_GB2312" w:cs="Times New Roman"/>
                <w:kern w:val="2"/>
                <w:sz w:val="32"/>
                <w:vertAlign w:val="baseline"/>
                <w:lang w:val="en-US" w:eastAsia="zh-CN" w:bidi="ar-SA"/>
              </w:rPr>
            </w:pPr>
          </w:p>
        </w:tc>
      </w:tr>
      <w:tr>
        <w:tblPrEx>
          <w:tblBorders>
            <w:top w:val="single" w:color="002060" w:sz="12" w:space="0"/>
            <w:left w:val="single" w:color="002060" w:sz="12" w:space="0"/>
            <w:bottom w:val="single" w:color="002060" w:sz="12" w:space="0"/>
            <w:right w:val="single" w:color="002060" w:sz="12" w:space="0"/>
            <w:insideH w:val="single" w:color="0070C0" w:sz="8" w:space="0"/>
            <w:insideV w:val="single" w:color="0070C0" w:sz="8" w:space="0"/>
          </w:tblBorders>
          <w:tblCellMar>
            <w:top w:w="0" w:type="dxa"/>
            <w:left w:w="108" w:type="dxa"/>
            <w:bottom w:w="0" w:type="dxa"/>
            <w:right w:w="108" w:type="dxa"/>
          </w:tblCellMar>
        </w:tblPrEx>
        <w:trPr>
          <w:trHeight w:val="283" w:hRule="atLeast"/>
          <w:jc w:val="center"/>
        </w:trPr>
        <w:tc>
          <w:tcPr>
            <w:tcW w:w="1701" w:type="dxa"/>
            <w:tcBorders>
              <w:tl2br w:val="nil"/>
              <w:tr2bl w:val="nil"/>
            </w:tcBorders>
            <w:vAlign w:val="top"/>
          </w:tcPr>
          <w:p>
            <w:pPr>
              <w:bidi w:val="0"/>
              <w:jc w:val="left"/>
              <w:rPr>
                <w:rFonts w:hint="eastAsia" w:ascii="Times New Roman" w:hAnsi="Times New Roman" w:eastAsia="仿宋_GB2312" w:cs="Times New Roman"/>
                <w:kern w:val="2"/>
                <w:sz w:val="32"/>
                <w:vertAlign w:val="baseline"/>
                <w:lang w:val="en-US" w:eastAsia="zh-CN" w:bidi="ar-SA"/>
              </w:rPr>
            </w:pPr>
          </w:p>
        </w:tc>
        <w:tc>
          <w:tcPr>
            <w:tcW w:w="1701" w:type="dxa"/>
            <w:tcBorders>
              <w:tl2br w:val="nil"/>
              <w:tr2bl w:val="nil"/>
            </w:tcBorders>
            <w:vAlign w:val="top"/>
          </w:tcPr>
          <w:p>
            <w:pPr>
              <w:bidi w:val="0"/>
              <w:jc w:val="left"/>
              <w:rPr>
                <w:rFonts w:hint="eastAsia" w:ascii="Times New Roman" w:hAnsi="Times New Roman" w:eastAsia="仿宋_GB2312" w:cs="Times New Roman"/>
                <w:kern w:val="2"/>
                <w:sz w:val="32"/>
                <w:vertAlign w:val="baseline"/>
                <w:lang w:val="en-US" w:eastAsia="zh-CN" w:bidi="ar-SA"/>
              </w:rPr>
            </w:pPr>
          </w:p>
        </w:tc>
        <w:tc>
          <w:tcPr>
            <w:tcW w:w="1701" w:type="dxa"/>
            <w:tcBorders>
              <w:tl2br w:val="nil"/>
              <w:tr2bl w:val="nil"/>
            </w:tcBorders>
            <w:vAlign w:val="top"/>
          </w:tcPr>
          <w:p>
            <w:pPr>
              <w:bidi w:val="0"/>
              <w:jc w:val="left"/>
              <w:rPr>
                <w:rFonts w:hint="eastAsia" w:ascii="Times New Roman" w:hAnsi="Times New Roman" w:eastAsia="仿宋_GB2312" w:cs="Times New Roman"/>
                <w:kern w:val="2"/>
                <w:sz w:val="32"/>
                <w:vertAlign w:val="baseline"/>
                <w:lang w:val="en-US" w:eastAsia="zh-CN" w:bidi="ar-SA"/>
              </w:rPr>
            </w:pPr>
          </w:p>
        </w:tc>
        <w:tc>
          <w:tcPr>
            <w:tcW w:w="1701" w:type="dxa"/>
            <w:tcBorders>
              <w:tl2br w:val="nil"/>
              <w:tr2bl w:val="nil"/>
            </w:tcBorders>
            <w:vAlign w:val="top"/>
          </w:tcPr>
          <w:p>
            <w:pPr>
              <w:bidi w:val="0"/>
              <w:jc w:val="left"/>
              <w:rPr>
                <w:rFonts w:hint="eastAsia" w:ascii="Times New Roman" w:hAnsi="Times New Roman" w:eastAsia="仿宋_GB2312" w:cs="Times New Roman"/>
                <w:kern w:val="2"/>
                <w:sz w:val="32"/>
                <w:vertAlign w:val="baseline"/>
                <w:lang w:val="en-US" w:eastAsia="zh-CN" w:bidi="ar-SA"/>
              </w:rPr>
            </w:pPr>
          </w:p>
        </w:tc>
      </w:tr>
      <w:tr>
        <w:tblPrEx>
          <w:tblBorders>
            <w:top w:val="single" w:color="002060" w:sz="12" w:space="0"/>
            <w:left w:val="single" w:color="002060" w:sz="12" w:space="0"/>
            <w:bottom w:val="single" w:color="002060" w:sz="12" w:space="0"/>
            <w:right w:val="single" w:color="002060" w:sz="12" w:space="0"/>
            <w:insideH w:val="single" w:color="0070C0" w:sz="8" w:space="0"/>
            <w:insideV w:val="single" w:color="0070C0" w:sz="8" w:space="0"/>
          </w:tblBorders>
          <w:tblCellMar>
            <w:top w:w="0" w:type="dxa"/>
            <w:left w:w="108" w:type="dxa"/>
            <w:bottom w:w="0" w:type="dxa"/>
            <w:right w:w="108" w:type="dxa"/>
          </w:tblCellMar>
        </w:tblPrEx>
        <w:trPr>
          <w:trHeight w:val="283" w:hRule="atLeast"/>
          <w:jc w:val="center"/>
        </w:trPr>
        <w:tc>
          <w:tcPr>
            <w:tcW w:w="1701" w:type="dxa"/>
            <w:tcBorders>
              <w:tl2br w:val="nil"/>
              <w:tr2bl w:val="nil"/>
            </w:tcBorders>
            <w:vAlign w:val="top"/>
          </w:tcPr>
          <w:p>
            <w:pPr>
              <w:bidi w:val="0"/>
              <w:jc w:val="left"/>
              <w:rPr>
                <w:rFonts w:hint="eastAsia" w:ascii="Times New Roman" w:hAnsi="Times New Roman" w:eastAsia="仿宋_GB2312" w:cs="Times New Roman"/>
                <w:kern w:val="2"/>
                <w:sz w:val="32"/>
                <w:vertAlign w:val="baseline"/>
                <w:lang w:val="en-US" w:eastAsia="zh-CN" w:bidi="ar-SA"/>
              </w:rPr>
            </w:pPr>
          </w:p>
        </w:tc>
        <w:tc>
          <w:tcPr>
            <w:tcW w:w="1701" w:type="dxa"/>
            <w:tcBorders>
              <w:tl2br w:val="nil"/>
              <w:tr2bl w:val="nil"/>
            </w:tcBorders>
            <w:vAlign w:val="top"/>
          </w:tcPr>
          <w:p>
            <w:pPr>
              <w:bidi w:val="0"/>
              <w:jc w:val="left"/>
              <w:rPr>
                <w:rFonts w:hint="eastAsia" w:ascii="Times New Roman" w:hAnsi="Times New Roman" w:eastAsia="仿宋_GB2312" w:cs="Times New Roman"/>
                <w:kern w:val="2"/>
                <w:sz w:val="32"/>
                <w:vertAlign w:val="baseline"/>
                <w:lang w:val="en-US" w:eastAsia="zh-CN" w:bidi="ar-SA"/>
              </w:rPr>
            </w:pPr>
          </w:p>
        </w:tc>
        <w:tc>
          <w:tcPr>
            <w:tcW w:w="1701" w:type="dxa"/>
            <w:tcBorders>
              <w:tl2br w:val="nil"/>
              <w:tr2bl w:val="nil"/>
            </w:tcBorders>
            <w:vAlign w:val="top"/>
          </w:tcPr>
          <w:p>
            <w:pPr>
              <w:bidi w:val="0"/>
              <w:jc w:val="left"/>
              <w:rPr>
                <w:rFonts w:hint="eastAsia" w:ascii="Times New Roman" w:hAnsi="Times New Roman" w:eastAsia="仿宋_GB2312" w:cs="Times New Roman"/>
                <w:kern w:val="2"/>
                <w:sz w:val="32"/>
                <w:vertAlign w:val="baseline"/>
                <w:lang w:val="en-US" w:eastAsia="zh-CN" w:bidi="ar-SA"/>
              </w:rPr>
            </w:pPr>
          </w:p>
        </w:tc>
        <w:tc>
          <w:tcPr>
            <w:tcW w:w="1701" w:type="dxa"/>
            <w:tcBorders>
              <w:tl2br w:val="nil"/>
              <w:tr2bl w:val="nil"/>
            </w:tcBorders>
            <w:vAlign w:val="top"/>
          </w:tcPr>
          <w:p>
            <w:pPr>
              <w:bidi w:val="0"/>
              <w:jc w:val="left"/>
              <w:rPr>
                <w:rFonts w:hint="eastAsia" w:ascii="Times New Roman" w:hAnsi="Times New Roman" w:eastAsia="仿宋_GB2312" w:cs="Times New Roman"/>
                <w:kern w:val="2"/>
                <w:sz w:val="32"/>
                <w:vertAlign w:val="baseline"/>
                <w:lang w:val="en-US" w:eastAsia="zh-CN" w:bidi="ar-SA"/>
              </w:rPr>
            </w:pPr>
          </w:p>
        </w:tc>
      </w:tr>
    </w:tbl>
    <w:p>
      <w:pPr>
        <w:bidi w:val="0"/>
        <w:ind w:firstLine="396" w:firstLineChars="0"/>
        <w:jc w:val="left"/>
        <w:rPr>
          <w:rFonts w:hint="eastAsia" w:ascii="Times New Roman" w:hAnsi="Times New Roman" w:eastAsia="仿宋_GB2312" w:cs="Times New Roman"/>
          <w:kern w:val="2"/>
          <w:sz w:val="32"/>
          <w:lang w:val="en-US" w:eastAsia="zh-CN" w:bidi="ar-SA"/>
        </w:rPr>
      </w:pPr>
      <w:bookmarkStart w:id="0" w:name="_GoBack"/>
      <w:bookmarkEnd w:id="0"/>
    </w:p>
    <w:sectPr>
      <w:type w:val="continuous"/>
      <w:pgSz w:w="11906" w:h="16838"/>
      <w:pgMar w:top="1440" w:right="1800" w:bottom="1440" w:left="1800" w:header="851" w:footer="992" w:gutter="0"/>
      <w:pgBorders>
        <w:top w:val="triple" w:color="FFC000" w:sz="4" w:space="1"/>
        <w:left w:val="triple" w:color="FFC000" w:sz="4" w:space="4"/>
        <w:bottom w:val="triple" w:color="FFC000" w:sz="4" w:space="1"/>
        <w:right w:val="triple" w:color="FFC000" w:sz="4" w:space="4"/>
      </w:pgBorders>
      <w:pgNumType w:fmt="chineseCounting"/>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一</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一</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1"/>
      </w:pBdr>
      <w:rPr>
        <w:rFonts w:hint="default" w:eastAsia="仿宋_GB2312"/>
        <w:lang w:val="en-US" w:eastAsia="zh-CN"/>
      </w:rPr>
    </w:pPr>
    <w:r>
      <w:rPr>
        <w:rFonts w:hint="eastAsia"/>
        <w:lang w:val="en-US" w:eastAsia="zh-CN"/>
      </w:rPr>
      <w:t>2022年3月计算机考试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1"/>
      </w:pBdr>
      <w:rPr>
        <w:rFonts w:hint="default" w:eastAsia="仿宋_GB2312"/>
        <w:lang w:val="en-US" w:eastAsia="zh-CN"/>
      </w:rPr>
    </w:pPr>
    <w:r>
      <w:rPr>
        <w:rFonts w:hint="eastAsia"/>
        <w:lang w:val="en-US" w:eastAsia="zh-CN"/>
      </w:rPr>
      <w:t>湖北准易全省联考</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QwNzdkNTI0ZmEyODlhNmVjYjU4ZGU0YTBmMWRhMTcifQ=="/>
  </w:docVars>
  <w:rsids>
    <w:rsidRoot w:val="00DC59B6"/>
    <w:rsid w:val="003F0FD3"/>
    <w:rsid w:val="008F0DBF"/>
    <w:rsid w:val="00B76C7F"/>
    <w:rsid w:val="00DC59B6"/>
    <w:rsid w:val="13685314"/>
    <w:rsid w:val="1DD7057F"/>
    <w:rsid w:val="62D752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semiHidden/>
    <w:unhideWhenUsed/>
    <w:uiPriority w:val="99"/>
    <w:pPr>
      <w:tabs>
        <w:tab w:val="center" w:pos="4153"/>
        <w:tab w:val="right" w:pos="8306"/>
      </w:tabs>
      <w:snapToGrid w:val="0"/>
      <w:jc w:val="left"/>
    </w:pPr>
    <w:rPr>
      <w:sz w:val="18"/>
    </w:rPr>
  </w:style>
  <w:style w:type="paragraph" w:styleId="3">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qFormat/>
    <w:uiPriority w:val="22"/>
    <w:rPr>
      <w:b/>
      <w:bCs/>
    </w:rPr>
  </w:style>
  <w:style w:type="character" w:styleId="8">
    <w:name w:val="Emphasis"/>
    <w:qFormat/>
    <w:uiPriority w:val="20"/>
    <w:rPr>
      <w:i/>
      <w:iC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Pages>
  <Words>184</Words>
  <Characters>1054</Characters>
  <Lines>8</Lines>
  <Paragraphs>2</Paragraphs>
  <TotalTime>23</TotalTime>
  <ScaleCrop>false</ScaleCrop>
  <LinksUpToDate>false</LinksUpToDate>
  <CharactersWithSpaces>1236</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2022-03-18T12:09:00Z</dcterms:created>
  <dc:creator>Microsoft</dc:creator>
  <cp:lastModifiedBy>湖北技能高考-陈欢</cp:lastModifiedBy>
  <dcterms:modified xsi:type="dcterms:W3CDTF">2025-11-17T09:18:47Z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DD17FB7F4AB945EA8BA0168E994AE0D0_12</vt:lpwstr>
  </property>
</Properties>
</file>