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0070C0"/>
        <w:jc w:val="center"/>
        <w:rPr>
          <w:rFonts w:hint="eastAsia" w:ascii="Arial" w:hAnsi="Arial" w:eastAsia="楷体" w:cs="楷体"/>
          <w:b/>
          <w:color w:val="FF0000"/>
          <w:sz w:val="44"/>
        </w:rPr>
      </w:pPr>
      <w:r>
        <w:rPr>
          <w:rFonts w:hint="eastAsia" w:ascii="Arial" w:hAnsi="Arial" w:eastAsia="楷体" w:cs="楷体"/>
          <w:b/>
          <w:color w:val="FF0000"/>
          <w:sz w:val="44"/>
        </w:rPr>
        <w:t>中国IT市场回顾与展望</w:t>
      </w:r>
    </w:p>
    <w:p>
      <w:pPr>
        <w:keepNext/>
        <w:framePr w:dropCap="drop" w:lines="2" w:wrap="around" w:vAnchor="text" w:hAnchor="text"/>
        <w:spacing w:before="20" w:line="584" w:lineRule="exact"/>
        <w:textAlignment w:val="baseline"/>
        <w:rPr>
          <w:rFonts w:ascii="黑体" w:hAnsi="黑体" w:eastAsia="黑体"/>
          <w:position w:val="1"/>
          <w:sz w:val="52"/>
        </w:rPr>
      </w:pPr>
      <w:r>
        <w:rPr>
          <w:rFonts w:hint="eastAsia" w:ascii="黑体" w:hAnsi="黑体" w:eastAsia="黑体"/>
          <w:color w:val="FF0000"/>
          <w:position w:val="1"/>
          <w:sz w:val="52"/>
        </w:rPr>
        <w:t>保</w:t>
      </w:r>
    </w:p>
    <w:p>
      <w:r>
        <w:rPr>
          <w:rFonts w:hint="eastAsia"/>
        </w:rPr>
        <w:t>持了几年的持续高速增长之后，中国电子信息产业在2015年首次放缓了脚步，部分企业在销售增长的同时，利润空间下滑，产业面临着新的发展瓶颈。电信、银行、能源等重点行业投资规模继续趋于平稳，用户IT采购进一步凸显成熟与理性。尽管电子政务与中小企业信息化建设在一定程度上带动了相关的计算机、网络设备与应用软件的增长，但市场的逐步饱和已经不得不成为摆在IT企业面前的严峻事实。</w:t>
      </w:r>
    </w:p>
    <w:p>
      <w:pPr>
        <w:ind w:firstLine="420" w:firstLineChars="200"/>
      </w:pPr>
      <w:r>
        <w:rPr>
          <w:rFonts w:hint="eastAsia"/>
          <w:lang w:val="zh-CN"/>
        </w:rPr>
        <mc:AlternateContent>
          <mc:Choice Requires="wps">
            <w:drawing>
              <wp:anchor distT="0" distB="0" distL="114300" distR="114300" simplePos="0" relativeHeight="251661312" behindDoc="0" locked="0" layoutInCell="1" allowOverlap="1">
                <wp:simplePos x="0" y="0"/>
                <wp:positionH relativeFrom="column">
                  <wp:align>right</wp:align>
                </wp:positionH>
                <wp:positionV relativeFrom="paragraph">
                  <wp:posOffset>5715</wp:posOffset>
                </wp:positionV>
                <wp:extent cx="571500" cy="1905000"/>
                <wp:effectExtent l="0" t="0" r="19050" b="19050"/>
                <wp:wrapSquare wrapText="bothSides"/>
                <wp:docPr id="1" name="文本框 1"/>
                <wp:cNvGraphicFramePr/>
                <a:graphic xmlns:a="http://schemas.openxmlformats.org/drawingml/2006/main">
                  <a:graphicData uri="http://schemas.microsoft.com/office/word/2010/wordprocessingShape">
                    <wps:wsp>
                      <wps:cNvSpPr txBox="1"/>
                      <wps:spPr>
                        <a:xfrm>
                          <a:off x="0" y="0"/>
                          <a:ext cx="571500" cy="1905000"/>
                        </a:xfrm>
                        <a:prstGeom prst="rect">
                          <a:avLst/>
                        </a:prstGeom>
                        <a:solidFill>
                          <a:schemeClr val="lt1"/>
                        </a:solidFill>
                        <a:ln w="6350">
                          <a:solidFill>
                            <a:schemeClr val="bg1"/>
                          </a:solidFill>
                        </a:ln>
                      </wps:spPr>
                      <wps:txbx>
                        <w:txbxContent>
                          <w:p>
                            <w:pPr>
                              <w:rPr>
                                <w:rFonts w:ascii="黑体" w:hAnsi="黑体" w:eastAsia="黑体"/>
                                <w:sz w:val="44"/>
                                <w:szCs w:val="44"/>
                              </w:rPr>
                            </w:pPr>
                            <w:r>
                              <w:rPr>
                                <w:rFonts w:hint="eastAsia" w:ascii="黑体" w:hAnsi="黑体" w:eastAsia="黑体"/>
                                <w:sz w:val="44"/>
                                <w:szCs w:val="44"/>
                              </w:rPr>
                              <w:t>电子信息产业</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45pt;height:150pt;width:45pt;mso-position-horizontal:right;mso-wrap-distance-bottom:0pt;mso-wrap-distance-left:9pt;mso-wrap-distance-right:9pt;mso-wrap-distance-top:0pt;z-index:251661312;mso-width-relative:page;mso-height-relative:page;" fillcolor="#FFFFFF [3201]" filled="t" stroked="t" coordsize="21600,21600" o:gfxdata="UEsDBAoAAAAAAIdO4kAAAAAAAAAAAAAAAAAEAAAAZHJzL1BLAwQUAAAACACHTuJA8Hg5VdAAAAAE&#10;AQAADwAAAGRycy9kb3ducmV2LnhtbE2PS0/DMBCE70j8B2uRuFE7BVUkxOmhEnDuA87beEkC8dqK&#10;3Qf8epYTPY5mdubbenn2ozrSlIbAFoqZAUXcBjdwZ2G3fb57BJUyssMxMFn4pgTL5vqqxsqFE6/p&#10;uMmdkhJOFVroc46V1qntyWOahUgs3keYPGaRU6fdhCcp96OeG7PQHgeWhR4jrXpqvzYHLxjkYxnz&#10;W9jS57p42L2+z1c/L9be3hTmCVSmc/4Pwx++3EAjTPtwYJfUaEEeyRZKUOKVRtTewr0xJeim1pfw&#10;zS9QSwMEFAAAAAgAh07iQF/TRuJTAgAAugQAAA4AAABkcnMvZTJvRG9jLnhtbK1US27bMBDdF+gd&#10;CO4byWmcNEbkwE3gokDQBEg/a5qiLAL8laQtpQdobtBVN933XDlHHynl2y6yqBbUDGf0ZubNjI6O&#10;e63IVvggranoZKekRBhua2nWFf30cfnqDSUhMlMzZY2o6JUI9Hj+8sVR52Zi17ZW1cITgJgw61xF&#10;2xjdrCgCb4VmYcc6YWBsrNcsQvXrovasA7pWxW5Z7hed9bXzlosQcHs6GOmI6J8DaJtGcnFq+UYL&#10;EwdULxSLKCm00gU6z9k2jeDxvGmCiERVFJXGfCII5FU6i/kRm609c63kYwrsOSk8qUkzaRD0DuqU&#10;RUY2Xv4FpSX3Ntgm7nCri6GQzAiqmJRPuLlsmRO5FlAd3B3p4f/B8g/bC09kjUmgxDCNht/8uL75&#10;+fvm13cySfR0LszgdengF/u3tk+u433AZaq6b7xOb9RDYAe5V3fkij4SjsvpwWRawsJhmhyWkDP7&#10;xf3Xzof4TlhNklBRj+ZlTtn2LEREhOutSwoWrJL1UiqVFb9enShPtgyNXuYnJYlPHrkpQ7qK7r+e&#10;lhn5kS08BwKAygA3sTJUn6TYr/qRkpWtr8CUt8OoBceXEuWcsRAvmMdsgQJsXzzH0SiLbOwoUdJa&#10;/+1f98m/ooJ9xpuSDtNa0fB1w7ygRL03GIfDyd4egGNW9qYHu1D8Q8vqocVs9IkFT2g58sti8o/q&#10;Vmy81V+wposUFyZmOHKrKKIP4kkcdghrzsVikZ0w0I7FM3PpeIJOXTF2sYm2kbl7iaiBnZE/jHTu&#10;0Lh+aWce6tnr/pcz/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weDlV0AAAAAQBAAAPAAAAAAAA&#10;AAEAIAAAACIAAABkcnMvZG93bnJldi54bWxQSwECFAAUAAAACACHTuJAX9NG4lMCAAC6BAAADgAA&#10;AAAAAAABACAAAAAfAQAAZHJzL2Uyb0RvYy54bWxQSwUGAAAAAAYABgBZAQAA5AUAAAAA&#10;">
                <v:fill on="t" focussize="0,0"/>
                <v:stroke weight="0.5pt" color="#FFFFFF [3212]" joinstyle="round"/>
                <v:imagedata o:title=""/>
                <o:lock v:ext="edit" aspectratio="f"/>
                <v:textbox style="layout-flow:vertical-ideographic;">
                  <w:txbxContent>
                    <w:p>
                      <w:pPr>
                        <w:rPr>
                          <w:rFonts w:ascii="黑体" w:hAnsi="黑体" w:eastAsia="黑体"/>
                          <w:sz w:val="44"/>
                          <w:szCs w:val="44"/>
                        </w:rPr>
                      </w:pPr>
                      <w:r>
                        <w:rPr>
                          <w:rFonts w:hint="eastAsia" w:ascii="黑体" w:hAnsi="黑体" w:eastAsia="黑体"/>
                          <w:sz w:val="44"/>
                          <w:szCs w:val="44"/>
                        </w:rPr>
                        <w:t>电子信息产业</w:t>
                      </w:r>
                    </w:p>
                  </w:txbxContent>
                </v:textbox>
                <w10:wrap type="square"/>
              </v:shape>
            </w:pict>
          </mc:Fallback>
        </mc:AlternateContent>
      </w:r>
      <w:r>
        <w:rPr>
          <w:rFonts w:hint="eastAsia"/>
        </w:rPr>
        <w:t>在产业整体发展相对平缓的背景下，中国计算机市场继续保持了稳步的增长，但据赛迪顾问预计，增长率将低于2014年。面临着来自企业自身持续发展与用户需求变化的双重压力，传统的计算机主机、外设与网络设备提供商也在寻求着市场突破的机会。包括联想、紫光在内的部分IT企业逐步从产品多元化转向专注化的发展战略；同时，渠道的整合、产品线的调整成为企业适应市场环境变化、调整发展战略的具体表现。在人们越来越频繁地谈论IT用户的理性化采购之际，这是否也在某种程度上预示了IT企业的日渐成熟？</w:t>
      </w:r>
    </w:p>
    <w:p>
      <w:pPr>
        <w:ind w:firstLine="420" w:firstLineChars="200"/>
      </w:pPr>
      <w:r>
        <w:rPr>
          <w:rFonts w:hint="eastAsia"/>
        </w:rPr>
        <w:t>当然，新兴的市场机会也不断从相对沉寂的传统IT环境中亮相登场。几年前就曾经风弥一时的“数字家庭”，在2015年又被众多IT企业以崭新的面孔推向了市场；数字娱乐、内容增值服务、数字电视等以网络应用为基础的新兴产品与服务也展现出更加广泛的市场前景。但这一次与以往不同的是，网络环境的日渐完善与家庭IT消费的逐渐成熟已经为数字家庭的普及打下了良好的基础。3C融合的趋势正在逐步成为现实，这也为包括微软、Intel、联想、TCL等在内的众多IT企业带来了新的增长动力。收益将会与企业的洞察力和研发投入呈现出一定的正比关系。</w:t>
      </w:r>
    </w:p>
    <w:p>
      <w:pPr>
        <w:ind w:firstLine="420" w:firstLineChars="200"/>
      </w:pPr>
      <w:r>
        <w:drawing>
          <wp:anchor distT="0" distB="0" distL="114300" distR="114300" simplePos="0" relativeHeight="251659264" behindDoc="0" locked="0" layoutInCell="1" allowOverlap="1">
            <wp:simplePos x="0" y="0"/>
            <wp:positionH relativeFrom="column">
              <wp:posOffset>3257550</wp:posOffset>
            </wp:positionH>
            <wp:positionV relativeFrom="paragraph">
              <wp:posOffset>270510</wp:posOffset>
            </wp:positionV>
            <wp:extent cx="762000" cy="762000"/>
            <wp:effectExtent l="19050" t="19050" r="19050" b="1905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w="12700">
                      <a:solidFill>
                        <a:srgbClr val="FF0000"/>
                      </a:solidFill>
                    </a:ln>
                  </pic:spPr>
                </pic:pic>
              </a:graphicData>
            </a:graphic>
          </wp:anchor>
        </w:drawing>
      </w:r>
      <w:r>
        <w:rPr>
          <w:rFonts w:hint="eastAsia"/>
        </w:rPr>
        <w:t>2015年即将过去，2016年转瞬即来。在这种理性发展与创新机遇之中，未来的中国IT市场如何发展、新的增长机会如何把握等问题，正在成为业界日益关注的焦点。赛迪顾问认为，未来的中国IT市场发展机会主要源于：产业的融合与创新：4C融合已经为中国IT产业的发展创造了机遇，未来的4G应用与数字奥运也将带动更多新的市场机会。以个人及家庭应用为核心的数字产业尽管在不断经历着技术标准与专利的挑战，但用户应用需求的扩张、企业对利润的不懈追求，将促进产业链各环节中的产品提供商、服务提供商、内容提供商以及网络运营商之间的相互融合与协作，推动技术、产品、市场的不断创新，从而逐步营造出一个多方利益共赢的局面。</w:t>
      </w:r>
    </w:p>
    <w:p>
      <w:pPr>
        <w:ind w:firstLine="420" w:firstLineChars="200"/>
        <w:sectPr>
          <w:headerReference r:id="rId3" w:type="default"/>
          <w:footerReference r:id="rId5" w:type="default"/>
          <w:headerReference r:id="rId4" w:type="even"/>
          <w:footerReference r:id="rId6" w:type="even"/>
          <w:pgSz w:w="11906" w:h="16838"/>
          <w:pgMar w:top="1440" w:right="1800" w:bottom="1440" w:left="1800" w:header="851" w:footer="992" w:gutter="0"/>
          <w:pgNumType w:fmt="numberInDash" w:start="3"/>
          <w:cols w:space="425" w:num="1"/>
          <w:docGrid w:type="lines" w:linePitch="312" w:charSpace="0"/>
        </w:sectPr>
      </w:pPr>
    </w:p>
    <w:p>
      <w:pPr>
        <w:ind w:firstLine="420" w:firstLineChars="200"/>
      </w:pPr>
      <w:r>
        <w:rPr>
          <w:rFonts w:hint="eastAsia"/>
        </w:rPr>
        <w:t>最终用户需求的提升：经历了20多年信息化的磨练，中国的IT用户正在逐步成熟。从最初的大规模IT设备采购、应用系统的建设，到目前业务系统的整合以及IT与企业发展战略的相互融合，中国IT用户正在重新审视IT真正的应用价值所在。《国家信息化发展战略（2015－2020年）》的发布已经为今后中国的信息化发展描绘了宏伟的蓝图。随着IT应用的成熟以及对IT认知的深入，用户需求将日益转向IT与自身业务的融合与适应性，以及对于业务效率的提升等诸多方面。这将为IT企业与市场带来新的发展机会。</w:t>
      </w:r>
    </w:p>
    <w:p>
      <w:pPr>
        <w:ind w:firstLine="420" w:firstLineChars="200"/>
        <w:sectPr>
          <w:type w:val="continuous"/>
          <w:pgSz w:w="11906" w:h="16838"/>
          <w:pgMar w:top="1440" w:right="1800" w:bottom="1440" w:left="1800" w:header="851" w:footer="992" w:gutter="0"/>
          <w:pgNumType w:fmt="numberInDash"/>
          <w:cols w:space="425" w:num="2" w:sep="1"/>
          <w:docGrid w:type="lines" w:linePitch="312" w:charSpace="0"/>
        </w:sectPr>
      </w:pPr>
    </w:p>
    <w:p>
      <w:pPr>
        <w:ind w:firstLine="420" w:firstLineChars="200"/>
      </w:pPr>
      <w:r>
        <w:rPr>
          <w:rFonts w:hint="eastAsia"/>
        </w:rPr>
        <w:t>企业服务价值的创造：在日趋复杂的企业级IT应用市场环境中，用户需求的多元化与应用的普及化将是必然的发展趋势，这势必将对IT企业提出更高的要求。企业不仅要以创新的理念与方法，提供更加专业化的产品和解决方案以满足用户需求，而且在产品品质、响应速度、服务效率等方面面临着用户日益提升的要求。以服务创造用户价值，孕育着众多新的市场机会，但激烈的市场竞争永远遵循着“优胜劣汰”的法则。</w:t>
      </w:r>
    </w:p>
    <w:p>
      <w:pPr>
        <w:ind w:firstLine="420" w:firstLineChars="200"/>
      </w:pPr>
      <w:r>
        <w:rPr>
          <w:rFonts w:hint="eastAsia"/>
        </w:rPr>
        <w:t>移动商务应用的商机：近年来，中国庞大的手机用户群体、不断增长的笔记本电脑用户数以及各种新兴的移动设备的应用，正在为中国IT市场创造出旺盛的移动应用需求。移动商务应用需求的增长，不仅会为这些使用移动设备的用户带来更多的便捷，同时也将为众多的IT企业以及内容服务提供商创造出新的广阔的利润空间。但从目前的状况来看，移动商务的发展还处于相对初级的阶段，适合用户应用的商业模式、业务类型都有待创新。</w:t>
      </w:r>
    </w:p>
    <w:p>
      <w:pPr>
        <w:ind w:firstLine="420" w:firstLineChars="200"/>
      </w:pPr>
      <w:r>
        <w:rPr>
          <w:rFonts w:hint="eastAsia"/>
        </w:rPr>
        <w:t>产业和谐环境的构建：经过多年的发展，中国IT产业与市场已经逐步成熟，但产业政策的滞后、技术标准的欠缺、企业信用的缺失、知识产权保护力度的不足在某种程度上仍然制约着产业环境的真正成熟，而一个和谐的IT环境无疑会促进IT产业链各环节的协调发展，从而成为市场增长的催化剂。因此，构建和谐的产业环境，促进市场的持续发展，将成为今后几年中国政府、IT企业、用户以及渠道等共同努力的方向。中国IT产业将在和谐的环境中走向成熟，创造新的辉煌。</w:t>
      </w:r>
    </w:p>
    <w:tbl>
      <w:tblPr>
        <w:tblStyle w:val="6"/>
        <w:tblW w:w="0" w:type="auto"/>
        <w:jc w:val="center"/>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Layout w:type="autofit"/>
        <w:tblCellMar>
          <w:top w:w="0" w:type="dxa"/>
          <w:left w:w="108" w:type="dxa"/>
          <w:bottom w:w="0" w:type="dxa"/>
          <w:right w:w="108" w:type="dxa"/>
        </w:tblCellMar>
      </w:tblPr>
      <w:tblGrid>
        <w:gridCol w:w="1800"/>
        <w:gridCol w:w="1800"/>
        <w:gridCol w:w="1800"/>
        <w:gridCol w:w="1800"/>
      </w:tblGrid>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500" w:hRule="atLeast"/>
          <w:jc w:val="center"/>
        </w:trPr>
        <w:tc>
          <w:tcPr>
            <w:tcW w:w="1800" w:type="dxa"/>
            <w:tcBorders>
              <w:top w:val="double" w:color="FF0000" w:sz="12" w:space="0"/>
              <w:bottom w:val="double" w:color="FF0000" w:sz="4" w:space="0"/>
            </w:tcBorders>
          </w:tcPr>
          <w:p/>
        </w:tc>
        <w:tc>
          <w:tcPr>
            <w:tcW w:w="1800" w:type="dxa"/>
            <w:tcBorders>
              <w:top w:val="double" w:color="FF0000" w:sz="12" w:space="0"/>
              <w:bottom w:val="double" w:color="FF0000" w:sz="4" w:space="0"/>
            </w:tcBorders>
          </w:tcPr>
          <w:p/>
        </w:tc>
        <w:tc>
          <w:tcPr>
            <w:tcW w:w="1800" w:type="dxa"/>
            <w:tcBorders>
              <w:top w:val="double" w:color="FF0000" w:sz="12" w:space="0"/>
              <w:bottom w:val="double" w:color="FF0000" w:sz="4" w:space="0"/>
            </w:tcBorders>
          </w:tcPr>
          <w:p/>
        </w:tc>
        <w:tc>
          <w:tcPr>
            <w:tcW w:w="1800" w:type="dxa"/>
            <w:tcBorders>
              <w:top w:val="double" w:color="FF0000" w:sz="12" w:space="0"/>
              <w:bottom w:val="double" w:color="FF0000" w:sz="4" w:space="0"/>
            </w:tcBorders>
          </w:tc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500" w:hRule="atLeast"/>
          <w:jc w:val="center"/>
        </w:trPr>
        <w:tc>
          <w:tcPr>
            <w:tcW w:w="1800" w:type="dxa"/>
            <w:tcBorders>
              <w:top w:val="double" w:color="FF0000" w:sz="4" w:space="0"/>
              <w:bottom w:val="single" w:color="0070C0" w:sz="8" w:space="0"/>
            </w:tcBorders>
          </w:tcPr>
          <w:p/>
        </w:tc>
        <w:tc>
          <w:tcPr>
            <w:tcW w:w="1800" w:type="dxa"/>
            <w:tcBorders>
              <w:top w:val="double" w:color="FF0000" w:sz="4" w:space="0"/>
              <w:bottom w:val="single" w:color="0070C0" w:sz="8" w:space="0"/>
            </w:tcBorders>
          </w:tcPr>
          <w:p/>
        </w:tc>
        <w:tc>
          <w:tcPr>
            <w:tcW w:w="1800" w:type="dxa"/>
            <w:tcBorders>
              <w:top w:val="double" w:color="FF0000" w:sz="4" w:space="0"/>
              <w:bottom w:val="single" w:color="0070C0" w:sz="8" w:space="0"/>
            </w:tcBorders>
          </w:tcPr>
          <w:p/>
        </w:tc>
        <w:tc>
          <w:tcPr>
            <w:tcW w:w="1800" w:type="dxa"/>
            <w:tcBorders>
              <w:top w:val="double" w:color="FF0000" w:sz="4" w:space="0"/>
              <w:bottom w:val="single" w:color="0070C0" w:sz="8" w:space="0"/>
            </w:tcBorders>
          </w:tc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500" w:hRule="atLeast"/>
          <w:jc w:val="center"/>
        </w:trPr>
        <w:tc>
          <w:tcPr>
            <w:tcW w:w="1800" w:type="dxa"/>
            <w:tcBorders>
              <w:top w:val="single" w:color="0070C0" w:sz="8" w:space="0"/>
            </w:tcBorders>
          </w:tcPr>
          <w:p/>
        </w:tc>
        <w:tc>
          <w:tcPr>
            <w:tcW w:w="1800" w:type="dxa"/>
            <w:tcBorders>
              <w:top w:val="single" w:color="0070C0" w:sz="8" w:space="0"/>
            </w:tcBorders>
          </w:tcPr>
          <w:p/>
        </w:tc>
        <w:tc>
          <w:tcPr>
            <w:tcW w:w="1800" w:type="dxa"/>
            <w:tcBorders>
              <w:top w:val="single" w:color="0070C0" w:sz="8" w:space="0"/>
            </w:tcBorders>
          </w:tcPr>
          <w:p/>
        </w:tc>
        <w:tc>
          <w:tcPr>
            <w:tcW w:w="1800" w:type="dxa"/>
            <w:tcBorders>
              <w:top w:val="single" w:color="0070C0" w:sz="8" w:space="0"/>
            </w:tcBorders>
          </w:tc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500" w:hRule="atLeast"/>
          <w:jc w:val="center"/>
        </w:trPr>
        <w:tc>
          <w:tcPr>
            <w:tcW w:w="1800" w:type="dxa"/>
          </w:tcPr>
          <w:p/>
        </w:tc>
        <w:tc>
          <w:tcPr>
            <w:tcW w:w="1800" w:type="dxa"/>
          </w:tcPr>
          <w:p/>
        </w:tc>
        <w:tc>
          <w:tcPr>
            <w:tcW w:w="1800" w:type="dxa"/>
          </w:tcPr>
          <w:p/>
        </w:tc>
        <w:tc>
          <w:tcPr>
            <w:tcW w:w="1800" w:type="dxa"/>
          </w:tcPr>
          <w:p/>
        </w:tc>
      </w:tr>
    </w:tbl>
    <w:p>
      <w:pPr>
        <w:ind w:firstLine="420" w:firstLineChars="200"/>
      </w:pPr>
      <w:bookmarkStart w:id="0" w:name="_GoBack"/>
      <w:bookmarkEnd w:id="0"/>
    </w:p>
    <w:sectPr>
      <w:type w:val="continuous"/>
      <w:pgSz w:w="11906" w:h="16838"/>
      <w:pgMar w:top="1440" w:right="1800" w:bottom="1440" w:left="1800" w:header="851" w:footer="992" w:gutter="0"/>
      <w:pgNumType w:fmt="numberInDash" w:start="3"/>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- 4 -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- 4 -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中国电子信息</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互联网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032E42"/>
    <w:rsid w:val="00032E42"/>
    <w:rsid w:val="001B5391"/>
    <w:rsid w:val="00235D5B"/>
    <w:rsid w:val="00246F2D"/>
    <w:rsid w:val="002B248B"/>
    <w:rsid w:val="00310BE8"/>
    <w:rsid w:val="005313B5"/>
    <w:rsid w:val="005845FB"/>
    <w:rsid w:val="005A2E39"/>
    <w:rsid w:val="0066062F"/>
    <w:rsid w:val="00670D85"/>
    <w:rsid w:val="0068372D"/>
    <w:rsid w:val="006F342E"/>
    <w:rsid w:val="00827613"/>
    <w:rsid w:val="0084680E"/>
    <w:rsid w:val="008C3871"/>
    <w:rsid w:val="008F3093"/>
    <w:rsid w:val="00996093"/>
    <w:rsid w:val="00C65FCF"/>
    <w:rsid w:val="00C951BC"/>
    <w:rsid w:val="00D03045"/>
    <w:rsid w:val="00F5217D"/>
    <w:rsid w:val="23A737D0"/>
    <w:rsid w:val="39712078"/>
    <w:rsid w:val="6B997C7F"/>
    <w:rsid w:val="6E507424"/>
    <w:rsid w:val="7AFF2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Title"/>
    <w:next w:val="1"/>
    <w:link w:val="8"/>
    <w:qFormat/>
    <w:uiPriority w:val="10"/>
    <w:pPr>
      <w:spacing w:before="100" w:beforeLines="100" w:after="100" w:afterLines="100" w:line="360" w:lineRule="auto"/>
      <w:jc w:val="center"/>
      <w:outlineLvl w:val="0"/>
    </w:pPr>
    <w:rPr>
      <w:rFonts w:eastAsia="黑体" w:asciiTheme="majorHAnsi" w:hAnsiTheme="majorHAnsi" w:cstheme="majorBidi"/>
      <w:b/>
      <w:bCs/>
      <w:color w:val="FF0000"/>
      <w:kern w:val="2"/>
      <w:sz w:val="36"/>
      <w:szCs w:val="32"/>
      <w:lang w:val="en-US" w:eastAsia="zh-CN" w:bidi="ar-SA"/>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字符"/>
    <w:basedOn w:val="7"/>
    <w:link w:val="4"/>
    <w:qFormat/>
    <w:uiPriority w:val="10"/>
    <w:rPr>
      <w:rFonts w:eastAsia="黑体" w:asciiTheme="majorHAnsi" w:hAnsiTheme="majorHAnsi" w:cstheme="majorBidi"/>
      <w:b/>
      <w:bCs/>
      <w:color w:val="FF0000"/>
      <w:sz w:val="36"/>
      <w:szCs w:val="32"/>
    </w:rPr>
  </w:style>
  <w:style w:type="character" w:customStyle="1" w:styleId="9">
    <w:name w:val="页眉 字符"/>
    <w:basedOn w:val="7"/>
    <w:link w:val="3"/>
    <w:qFormat/>
    <w:uiPriority w:val="99"/>
    <w:rPr>
      <w:sz w:val="18"/>
      <w:szCs w:val="18"/>
    </w:rPr>
  </w:style>
  <w:style w:type="character" w:customStyle="1" w:styleId="10">
    <w:name w:val="页脚 字符"/>
    <w:basedOn w:val="7"/>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285</Words>
  <Characters>1628</Characters>
  <Lines>13</Lines>
  <Paragraphs>3</Paragraphs>
  <TotalTime>22</TotalTime>
  <ScaleCrop>false</ScaleCrop>
  <LinksUpToDate>false</LinksUpToDate>
  <CharactersWithSpaces>1910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2022-11-23T08:08:00Z</dcterms:created>
  <dc:creator>Administrator</dc:creator>
  <cp:lastModifiedBy>湖北技能高考-陈欢</cp:lastModifiedBy>
  <dcterms:modified xsi:type="dcterms:W3CDTF">2025-11-17T09:15:25Z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9B8BF1FAD2854787B50682E226CA299B_12</vt:lpwstr>
  </property>
</Properties>
</file>