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2F9F2">
    <v:background id="_x0000_s1025">
      <v:fill type="tile" on="t" color2="#FFFFFF" o:title="背景" focussize="0,0" recolor="t" r:id="rId7"/>
    </v:background>
  </w:background>
  <w:body>
    <w:p>
      <w:pPr>
        <w:keepNext w:val="0"/>
        <w:keepLines w:val="0"/>
        <w:pageBreakBefore w:val="0"/>
        <w:widowControl w:val="0"/>
        <w:kinsoku/>
        <w:wordWrap/>
        <w:overflowPunct/>
        <w:topLinePunct w:val="0"/>
        <w:autoSpaceDE/>
        <w:autoSpaceDN/>
        <w:bidi w:val="0"/>
        <w:adjustRightInd/>
        <w:snapToGrid/>
        <w:spacing w:line="720" w:lineRule="auto"/>
        <w:ind w:firstLine="0" w:firstLineChars="0"/>
        <w:jc w:val="center"/>
        <w:textAlignment w:val="auto"/>
        <w:outlineLvl w:val="0"/>
        <w:rPr>
          <w:rFonts w:hint="eastAsia" w:ascii="楷体" w:hAnsi="楷体" w:eastAsia="楷体" w:cs="楷体"/>
          <w:b/>
          <w:bCs/>
          <w:i/>
          <w:iCs/>
          <w:spacing w:val="113"/>
          <w:w w:val="110"/>
          <w:kern w:val="4"/>
          <w:position w:val="0"/>
          <w:sz w:val="44"/>
          <w:szCs w:val="44"/>
          <w14:reflection w14:blurRad="0" w14:stA="0" w14:stPos="0" w14:endA="0" w14:endPos="0" w14:dist="0" w14:dir="0" w14:fadeDir="0" w14:sx="0" w14:sy="0" w14:kx="0" w14:ky="0" w14:algn="none"/>
        </w:rPr>
      </w:pPr>
      <w:r>
        <w:rPr>
          <w:rFonts w:hint="eastAsia" w:ascii="楷体" w:hAnsi="楷体" w:eastAsia="楷体" w:cs="楷体"/>
          <w:b/>
          <w:bCs/>
          <w:i/>
          <w:iCs/>
          <w:strike w:val="0"/>
          <w:dstrike w:val="0"/>
          <w:color w:val="0070C0"/>
          <w:spacing w:val="113"/>
          <w:w w:val="110"/>
          <w:kern w:val="4"/>
          <w:position w:val="0"/>
          <w:sz w:val="44"/>
          <w:szCs w:val="44"/>
          <w14:reflection w14:blurRad="0" w14:stA="0" w14:stPos="0" w14:endA="0" w14:endPos="0" w14:dist="0" w14:dir="0" w14:fadeDir="0" w14:sx="0" w14:sy="0" w14:kx="0" w14:ky="0" w14:algn="none"/>
        </w:rPr>
        <w:t>从工具到生态的跨越</w:t>
      </w:r>
    </w:p>
    <w:p>
      <w:pPr>
        <w:bidi w:val="0"/>
        <w:rPr>
          <w:rFonts w:hint="eastAsia"/>
        </w:rPr>
      </w:pPr>
      <w:r>
        <w:rPr>
          <w:rFonts w:hint="eastAsia"/>
        </w:rPr>
        <w:t>在当今数字化时代，企业沟通与协作方式发生了翻天覆地的变化。钉钉，作为阿里巴巴集团旗下的企业级通讯工具，自推出以来，凭借其高效、便捷的特性，迅速赢得了众多企业的青睐，成为企业数字化转型的重要推动力量。那么，钉钉是如何实现这一成功的呢？本文将从多个维度分析钉钉的成功之道。</w:t>
      </w:r>
    </w:p>
    <w:p>
      <w:pPr>
        <w:pStyle w:val="3"/>
        <w:bidi w:val="0"/>
        <w:rPr>
          <w:rFonts w:hint="eastAsia"/>
        </w:rPr>
      </w:pPr>
      <w:r>
        <w:rPr>
          <w:rFonts w:hint="eastAsia"/>
        </w:rPr>
        <w:t>一、强大的功能性与用户体验</w:t>
      </w:r>
    </w:p>
    <w:p>
      <w:pPr>
        <w:bidi w:val="0"/>
        <w:rPr>
          <w:rFonts w:hint="eastAsia"/>
        </w:rPr>
      </w:pPr>
      <w:r>
        <w:rPr>
          <w:rFonts w:hint="eastAsia"/>
        </w:rPr>
        <w:t>钉钉的成功首先源于其强大的功能性和优秀的用户体验。作为一款企业级通讯工具，钉钉不仅提供了即时通讯、文件传输、日程安排等基础功能，还针对企业实际需求，推出了任务管理、审批流程、考勤打卡等高级功能。这些功能的集成，使得钉钉能够满足企业在不同场景下的沟通协作需求，提高工作效率。</w:t>
      </w:r>
    </w:p>
    <w:p>
      <w:pPr>
        <w:bidi w:val="0"/>
        <w:rPr>
          <w:rFonts w:hint="eastAsia"/>
        </w:rPr>
      </w:pPr>
      <w:r>
        <w:rPr>
          <w:rFonts w:hint="eastAsia"/>
        </w:rPr>
        <w:t>同时，钉钉在用户体验方面也下足了功夫。简洁明了的界面设计、流畅的操作体验、智能的推荐功能等，都使得用户在使用钉钉时能够感受到舒适与便捷。此外，钉钉还不断优化产品性能，提升稳定性，确保用户在使用过程中能够享受到良好的体验。</w:t>
      </w:r>
    </w:p>
    <w:p>
      <w:pPr>
        <w:pStyle w:val="3"/>
        <w:bidi w:val="0"/>
        <w:rPr>
          <w:rFonts w:hint="eastAsia"/>
        </w:rPr>
        <w:sectPr>
          <w:footerReference r:id="rId5" w:type="default"/>
          <w:pgSz w:w="16838" w:h="23811"/>
          <w:pgMar w:top="1701" w:right="1701" w:bottom="1701" w:left="1701" w:header="851" w:footer="992" w:gutter="0"/>
          <w:pgBorders>
            <w:top w:val="none" w:sz="0" w:space="0"/>
            <w:left w:val="none" w:sz="0" w:space="0"/>
            <w:bottom w:val="none" w:sz="0" w:space="0"/>
            <w:right w:val="none" w:sz="0" w:space="0"/>
          </w:pgBorders>
          <w:pgNumType w:fmt="chineseLegalSimplified"/>
          <w:cols w:space="0" w:num="1"/>
          <w:rtlGutter w:val="0"/>
          <w:docGrid w:type="linesAndChars" w:linePitch="312" w:charSpace="-675"/>
        </w:sectPr>
      </w:pPr>
    </w:p>
    <w:p>
      <w:pPr>
        <w:pStyle w:val="3"/>
        <w:bidi w:val="0"/>
        <w:rPr>
          <w:rFonts w:hint="eastAsia"/>
        </w:rPr>
        <w:sectPr>
          <w:type w:val="continuous"/>
          <w:pgSz w:w="16838" w:h="23811"/>
          <w:pgMar w:top="1701" w:right="1701" w:bottom="1701" w:left="1701" w:header="851" w:footer="992" w:gutter="0"/>
          <w:pgBorders>
            <w:top w:val="none" w:sz="0" w:space="0"/>
            <w:left w:val="none" w:sz="0" w:space="0"/>
            <w:bottom w:val="none" w:sz="0" w:space="0"/>
            <w:right w:val="none" w:sz="0" w:space="0"/>
          </w:pgBorders>
          <w:pgNumType w:fmt="chineseLegalSimplified"/>
          <w:cols w:equalWidth="0" w:num="3">
            <w:col w:w="4195" w:space="425"/>
            <w:col w:w="4195" w:space="425"/>
            <w:col w:w="4195"/>
          </w:cols>
          <w:rtlGutter w:val="0"/>
          <w:docGrid w:type="linesAndChars" w:linePitch="312" w:charSpace="-675"/>
        </w:sectPr>
      </w:pPr>
      <w:r>
        <w:rPr>
          <w:rFonts w:hint="eastAsia"/>
        </w:rPr>
        <w:t>二、</w:t>
      </w:r>
    </w:p>
    <w:p>
      <w:pPr>
        <w:pStyle w:val="3"/>
        <w:bidi w:val="0"/>
        <w:rPr>
          <w:rFonts w:hint="eastAsia"/>
        </w:rPr>
      </w:pPr>
      <w:r>
        <w:rPr>
          <w:rFonts w:hint="eastAsia"/>
        </w:rPr>
        <w:t>强大的生态构建能力</w:t>
      </w:r>
    </w:p>
    <w:p>
      <w:pPr>
        <w:bidi w:val="0"/>
        <w:rPr>
          <w:rFonts w:hint="eastAsia"/>
        </w:rPr>
      </w:pPr>
      <w:r>
        <w:rPr>
          <w:rFonts w:hint="eastAsia"/>
        </w:rPr>
        <w:t>除了基础功能和用户体验外，钉钉还具备强大的生态构建能力。钉钉开放平台为开发者提供了丰富的API接口和开发工具，使得第三方应用能够轻松接入钉钉，实现与钉钉的无缝对接。这一举措不仅丰富了钉钉的功能，也为企业提供了更多的选择空间，满足了不同企业的个性化需求。</w:t>
      </w:r>
    </w:p>
    <w:p>
      <w:pPr>
        <w:bidi w:val="0"/>
        <w:rPr>
          <w:rFonts w:hint="eastAsia"/>
        </w:rPr>
      </w:pPr>
      <w:r>
        <w:rPr>
          <w:rFonts w:hint="eastAsia"/>
        </w:rPr>
        <w:t>通过生态构建，钉钉逐渐形成了一个庞大的企业服务生态系统。在这个生态系统中，钉钉不仅提供了基础的通讯协作功能，还整合了众多优质的企业服务资源，如人力资源管理、财务管理、客户关系管理等。这些资源的整合，使得企业能够在钉钉平台上实现一站式的管理与服务，进一步提升了工作效率。</w:t>
      </w:r>
    </w:p>
    <w:p>
      <w:pPr>
        <w:pStyle w:val="3"/>
        <w:bidi w:val="0"/>
        <w:rPr>
          <w:rFonts w:hint="eastAsia"/>
        </w:rPr>
      </w:pPr>
      <w:r>
        <w:rPr>
          <w:rFonts w:hint="eastAsia"/>
        </w:rPr>
        <w:t>三、深入的行业洞察与定制化服务</w:t>
      </w:r>
    </w:p>
    <w:p>
      <w:pPr>
        <w:bidi w:val="0"/>
        <w:rPr>
          <w:rFonts w:hint="eastAsia"/>
        </w:rPr>
      </w:pPr>
      <w:r>
        <w:rPr>
          <w:rFonts w:hint="eastAsia"/>
        </w:rPr>
        <w:t>钉钉的成功还离不开其对行业的深入洞察和定制化服务。针对不同行业的特点和需求，钉钉推出了行业定制版，如教育版、医疗版等。这些定制版在保留基础功能的同时，还针对行业特点增加了专业功能，如在线课堂、医疗协同等，使得钉钉能够更好地服务于不同行业的企业。</w:t>
      </w:r>
    </w:p>
    <w:p>
      <w:pPr>
        <w:bidi w:val="0"/>
        <w:rPr>
          <w:rFonts w:hint="eastAsia"/>
        </w:rPr>
      </w:pPr>
      <w:r>
        <w:rPr>
          <w:rFonts w:hint="eastAsia"/>
        </w:rPr>
        <w:t>此外，钉钉还为企业提供了一对一的定制化服务。企业可以根据自己的实际需求，向钉钉提出定制需求，钉钉将为其量身打造专属的解决方案。这种定制化服务不仅满足了企业的个性化需求，也提升了钉钉的竞争力。</w:t>
      </w:r>
    </w:p>
    <w:p>
      <w:pPr>
        <w:pStyle w:val="3"/>
        <w:bidi w:val="0"/>
        <w:rPr>
          <w:rFonts w:hint="eastAsia"/>
        </w:rPr>
        <w:sectPr>
          <w:type w:val="continuous"/>
          <w:pgSz w:w="16838" w:h="23811"/>
          <w:pgMar w:top="1701" w:right="1701" w:bottom="1701" w:left="1701" w:header="851" w:footer="992" w:gutter="0"/>
          <w:pgBorders>
            <w:top w:val="none" w:sz="0" w:space="0"/>
            <w:left w:val="none" w:sz="0" w:space="0"/>
            <w:bottom w:val="none" w:sz="0" w:space="0"/>
            <w:right w:val="none" w:sz="0" w:space="0"/>
          </w:pgBorders>
          <w:pgNumType w:fmt="chineseLegalSimplified"/>
          <w:cols w:space="427" w:num="3" w:sep="1"/>
          <w:rtlGutter w:val="0"/>
          <w:docGrid w:type="linesAndChars" w:linePitch="312" w:charSpace="-675"/>
        </w:sectPr>
      </w:pPr>
    </w:p>
    <w:p>
      <w:pPr>
        <w:pStyle w:val="3"/>
        <w:bidi w:val="0"/>
        <w:rPr>
          <w:rFonts w:hint="eastAsia"/>
        </w:rPr>
        <w:sectPr>
          <w:type w:val="continuous"/>
          <w:pgSz w:w="16838" w:h="23811"/>
          <w:pgMar w:top="1701" w:right="1701" w:bottom="1701" w:left="1701" w:header="851" w:footer="992" w:gutter="0"/>
          <w:pgBorders>
            <w:top w:val="none" w:sz="0" w:space="0"/>
            <w:left w:val="none" w:sz="0" w:space="0"/>
            <w:bottom w:val="none" w:sz="0" w:space="0"/>
            <w:right w:val="none" w:sz="0" w:space="0"/>
          </w:pgBorders>
          <w:pgNumType w:fmt="chineseLegalSimplified"/>
          <w:cols w:space="0" w:num="1"/>
          <w:rtlGutter w:val="0"/>
          <w:docGrid w:type="linesAndChars" w:linePitch="312" w:charSpace="-675"/>
        </w:sect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page">
              <wp:posOffset>6840220</wp:posOffset>
            </wp:positionH>
            <wp:positionV relativeFrom="page">
              <wp:posOffset>6840220</wp:posOffset>
            </wp:positionV>
            <wp:extent cx="2700655" cy="1800225"/>
            <wp:effectExtent l="0" t="0" r="4445" b="9525"/>
            <wp:wrapSquare wrapText="bothSides"/>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8"/>
                    <a:stretch>
                      <a:fillRect/>
                    </a:stretch>
                  </pic:blipFill>
                  <pic:spPr>
                    <a:xfrm>
                      <a:off x="0" y="0"/>
                      <a:ext cx="2700655" cy="1800225"/>
                    </a:xfrm>
                    <a:prstGeom prst="snip1Rect">
                      <a:avLst/>
                    </a:prstGeom>
                    <a:noFill/>
                    <a:ln w="9525">
                      <a:noFill/>
                    </a:ln>
                    <a:effectLst>
                      <a:outerShdw blurRad="50800" dist="38100" dir="18900000" algn="bl" rotWithShape="0">
                        <a:prstClr val="black">
                          <a:alpha val="40000"/>
                        </a:prstClr>
                      </a:outerShdw>
                    </a:effectLst>
                  </pic:spPr>
                </pic:pic>
              </a:graphicData>
            </a:graphic>
          </wp:anchor>
        </w:drawing>
      </w:r>
    </w:p>
    <w:p>
      <w:pPr>
        <w:pStyle w:val="3"/>
        <w:bidi w:val="0"/>
        <w:rPr>
          <w:rFonts w:hint="eastAsia"/>
        </w:rPr>
      </w:pPr>
      <w:r>
        <w:rPr>
          <w:rFonts w:hint="eastAsia"/>
        </w:rPr>
        <w:t>四、广泛的用户基础与口碑传播</w:t>
      </w:r>
    </w:p>
    <w:p>
      <w:pPr>
        <w:bidi w:val="0"/>
        <w:rPr>
          <w:rFonts w:hint="eastAsia"/>
        </w:rPr>
      </w:pPr>
      <w:r>
        <w:rPr>
          <w:rFonts w:hint="eastAsia"/>
        </w:rPr>
        <w:t>钉钉的成功还得益于其广泛的用户基础和口碑传播。随着数字化转型的深入推进，越来越多的企业开始认识到钉钉的价值，纷纷加入钉钉的大家庭。这使得钉钉的用户数量不断攀升，形成了一个庞大的用户基础。</w:t>
      </w:r>
    </w:p>
    <w:p>
      <w:pPr>
        <w:bidi w:val="0"/>
        <w:rPr>
          <w:rFonts w:hint="eastAsia"/>
        </w:rPr>
      </w:pPr>
      <w:r>
        <w:rPr>
          <w:rFonts w:hint="eastAsia"/>
        </w:rPr>
        <w:t>同时，钉钉的口碑传播也起到了关键作用。许多企业在使用钉钉后，都对其高效、便捷的特性给予了高度评价，并通过口碑传播将钉钉推荐给更多的企业。这种口碑传播不仅提升了钉钉的知名度，也为其带来了更多的潜在客户。</w:t>
      </w:r>
    </w:p>
    <w:p>
      <w:pPr>
        <w:pStyle w:val="3"/>
        <w:bidi w:val="0"/>
        <w:rPr>
          <w:rFonts w:hint="eastAsia"/>
        </w:rPr>
      </w:pPr>
      <w:r>
        <w:rPr>
          <w:rFonts w:hint="eastAsia"/>
        </w:rPr>
        <w:t>五、持续的创新与升级</w:t>
      </w:r>
    </w:p>
    <w:p>
      <w:pPr>
        <w:bidi w:val="0"/>
        <w:rPr>
          <w:rFonts w:hint="eastAsia"/>
        </w:rPr>
      </w:pPr>
      <w:r>
        <w:rPr>
          <w:rFonts w:hint="eastAsia"/>
        </w:rPr>
        <w:t>最后，钉钉的成功离不开其持续的创新与升级。面对不断变化的市场环境和用户需求，钉钉始终保持敏锐的洞察力，不断推出新功能、优化产品性能、提升用户体验。这种持续的创新与升级使得钉钉能够始终保持领先地位，引领企业通讯与协作市场的发展。</w:t>
      </w:r>
    </w:p>
    <w:p>
      <w:pPr>
        <w:bidi w:val="0"/>
        <w:rPr>
          <w:rFonts w:hint="eastAsia"/>
        </w:rPr>
      </w:pPr>
      <w:r>
        <w:rPr>
          <w:rFonts w:hint="eastAsia"/>
        </w:rPr>
        <w:t>综上所述，钉钉的成功源于其强大的功能性与用户体验、生态构建能力、行业洞察与定制化服务、广泛的用户基础与口碑传播以及持续的创新与升级等多个方面的优势。在未来，随着数字化转型的深入推进和企业对高效沟通协作需求的不断提升，钉钉有望继续保持领先地位，为企业创造更多价值。</w:t>
      </w:r>
    </w:p>
    <w:tbl>
      <w:tblPr>
        <w:tblStyle w:val="10"/>
        <w:tblpPr w:leftFromText="180" w:rightFromText="180" w:vertAnchor="page" w:horzAnchor="page" w:tblpXSpec="center" w:tblpY="16310"/>
        <w:tblOverlap w:val="never"/>
        <w:tblW w:w="0" w:type="auto"/>
        <w:jc w:val="center"/>
        <w:tblBorders>
          <w:top w:val="double" w:color="FF0000" w:sz="12" w:space="0"/>
          <w:left w:val="none" w:color="auto" w:sz="0" w:space="0"/>
          <w:bottom w:val="double" w:color="FF0000" w:sz="12" w:space="0"/>
          <w:right w:val="none" w:color="auto" w:sz="0" w:space="0"/>
          <w:insideH w:val="single" w:color="FF0000" w:sz="4" w:space="0"/>
          <w:insideV w:val="single" w:color="FF0000" w:sz="4" w:space="0"/>
        </w:tblBorders>
        <w:tblLayout w:type="autofit"/>
        <w:tblCellMar>
          <w:top w:w="0" w:type="dxa"/>
          <w:left w:w="108" w:type="dxa"/>
          <w:bottom w:w="0" w:type="dxa"/>
          <w:right w:w="108" w:type="dxa"/>
        </w:tblCellMar>
      </w:tblPr>
      <w:tblGrid>
        <w:gridCol w:w="3402"/>
        <w:gridCol w:w="10205"/>
      </w:tblGrid>
      <w:tr>
        <w:tblPrEx>
          <w:tblBorders>
            <w:top w:val="double" w:color="FF0000" w:sz="12" w:space="0"/>
            <w:left w:val="none" w:color="auto" w:sz="0" w:space="0"/>
            <w:bottom w:val="double" w:color="FF0000" w:sz="12" w:space="0"/>
            <w:right w:val="none" w:color="auto" w:sz="0" w:space="0"/>
            <w:insideH w:val="single" w:color="FF0000" w:sz="4" w:space="0"/>
            <w:insideV w:val="single" w:color="FF0000" w:sz="4" w:space="0"/>
          </w:tblBorders>
          <w:tblCellMar>
            <w:top w:w="0" w:type="dxa"/>
            <w:left w:w="108" w:type="dxa"/>
            <w:bottom w:w="0" w:type="dxa"/>
            <w:right w:w="108" w:type="dxa"/>
          </w:tblCellMar>
        </w:tblPrEx>
        <w:trPr>
          <w:trHeight w:val="567" w:hRule="atLeast"/>
          <w:jc w:val="center"/>
        </w:trPr>
        <w:tc>
          <w:tcPr>
            <w:tcW w:w="340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both"/>
              <w:textAlignment w:val="auto"/>
            </w:pPr>
            <w:bookmarkStart w:id="0" w:name="_GoBack"/>
            <w:r>
              <w:rPr>
                <w:rFonts w:hint="eastAsia"/>
                <w:color w:val="0070C0"/>
              </w:rPr>
              <w:t>成功因素</w:t>
            </w:r>
          </w:p>
        </w:tc>
        <w:tc>
          <w:tcPr>
            <w:tcW w:w="1020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both"/>
              <w:textAlignment w:val="auto"/>
            </w:pPr>
            <w:r>
              <w:rPr>
                <w:rFonts w:hint="eastAsia"/>
                <w:color w:val="0070C0"/>
              </w:rPr>
              <w:t>具体表现</w:t>
            </w:r>
          </w:p>
        </w:tc>
      </w:tr>
      <w:tr>
        <w:tblPrEx>
          <w:tblBorders>
            <w:top w:val="double" w:color="FF0000" w:sz="12" w:space="0"/>
            <w:left w:val="none" w:color="auto" w:sz="0" w:space="0"/>
            <w:bottom w:val="double" w:color="FF0000" w:sz="12" w:space="0"/>
            <w:right w:val="none" w:color="auto" w:sz="0" w:space="0"/>
            <w:insideH w:val="single" w:color="FF0000" w:sz="4" w:space="0"/>
            <w:insideV w:val="single" w:color="FF0000" w:sz="4" w:space="0"/>
          </w:tblBorders>
          <w:tblCellMar>
            <w:top w:w="0" w:type="dxa"/>
            <w:left w:w="108" w:type="dxa"/>
            <w:bottom w:w="0" w:type="dxa"/>
            <w:right w:w="108" w:type="dxa"/>
          </w:tblCellMar>
        </w:tblPrEx>
        <w:trPr>
          <w:trHeight w:val="567" w:hRule="atLeast"/>
          <w:jc w:val="center"/>
        </w:trPr>
        <w:tc>
          <w:tcPr>
            <w:tcW w:w="340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both"/>
              <w:textAlignment w:val="auto"/>
            </w:pPr>
            <w:r>
              <w:rPr>
                <w:rFonts w:hint="eastAsia"/>
                <w:color w:val="0070C0"/>
              </w:rPr>
              <w:t>功能性与用户体验</w:t>
            </w:r>
          </w:p>
        </w:tc>
        <w:tc>
          <w:tcPr>
            <w:tcW w:w="1020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both"/>
              <w:textAlignment w:val="auto"/>
            </w:pPr>
            <w:r>
              <w:rPr>
                <w:rFonts w:hint="eastAsia"/>
                <w:color w:val="0070C0"/>
              </w:rPr>
              <w:t>提供基础与高级功能，满足企业多样化需求；简洁明了的界面设计与流畅的操作体验</w:t>
            </w:r>
          </w:p>
        </w:tc>
      </w:tr>
      <w:tr>
        <w:tblPrEx>
          <w:tblBorders>
            <w:top w:val="double" w:color="FF0000" w:sz="12" w:space="0"/>
            <w:left w:val="none" w:color="auto" w:sz="0" w:space="0"/>
            <w:bottom w:val="double" w:color="FF0000" w:sz="12" w:space="0"/>
            <w:right w:val="none" w:color="auto" w:sz="0" w:space="0"/>
            <w:insideH w:val="single" w:color="FF0000" w:sz="4" w:space="0"/>
            <w:insideV w:val="single" w:color="FF0000" w:sz="4" w:space="0"/>
          </w:tblBorders>
          <w:tblCellMar>
            <w:top w:w="0" w:type="dxa"/>
            <w:left w:w="108" w:type="dxa"/>
            <w:bottom w:w="0" w:type="dxa"/>
            <w:right w:w="108" w:type="dxa"/>
          </w:tblCellMar>
        </w:tblPrEx>
        <w:trPr>
          <w:trHeight w:val="567" w:hRule="atLeast"/>
          <w:jc w:val="center"/>
        </w:trPr>
        <w:tc>
          <w:tcPr>
            <w:tcW w:w="340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both"/>
              <w:textAlignment w:val="auto"/>
            </w:pPr>
            <w:r>
              <w:rPr>
                <w:rFonts w:hint="eastAsia"/>
                <w:color w:val="0070C0"/>
              </w:rPr>
              <w:t>生态构建能力</w:t>
            </w:r>
          </w:p>
        </w:tc>
        <w:tc>
          <w:tcPr>
            <w:tcW w:w="1020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both"/>
              <w:textAlignment w:val="auto"/>
            </w:pPr>
            <w:r>
              <w:rPr>
                <w:rFonts w:hint="eastAsia"/>
                <w:color w:val="0070C0"/>
              </w:rPr>
              <w:t>开放平台支持第三方应用接入；整合企业服务资源，形成一站式管理与服务平台</w:t>
            </w:r>
          </w:p>
        </w:tc>
      </w:tr>
      <w:tr>
        <w:tblPrEx>
          <w:tblBorders>
            <w:top w:val="double" w:color="FF0000" w:sz="12" w:space="0"/>
            <w:left w:val="none" w:color="auto" w:sz="0" w:space="0"/>
            <w:bottom w:val="double" w:color="FF0000" w:sz="12" w:space="0"/>
            <w:right w:val="none" w:color="auto" w:sz="0" w:space="0"/>
            <w:insideH w:val="single" w:color="FF0000" w:sz="4" w:space="0"/>
            <w:insideV w:val="single" w:color="FF0000" w:sz="4" w:space="0"/>
          </w:tblBorders>
          <w:tblCellMar>
            <w:top w:w="0" w:type="dxa"/>
            <w:left w:w="108" w:type="dxa"/>
            <w:bottom w:w="0" w:type="dxa"/>
            <w:right w:w="108" w:type="dxa"/>
          </w:tblCellMar>
        </w:tblPrEx>
        <w:trPr>
          <w:trHeight w:val="567" w:hRule="atLeast"/>
          <w:jc w:val="center"/>
        </w:trPr>
        <w:tc>
          <w:tcPr>
            <w:tcW w:w="340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both"/>
              <w:textAlignment w:val="auto"/>
            </w:pPr>
            <w:r>
              <w:rPr>
                <w:rFonts w:hint="eastAsia"/>
                <w:color w:val="0070C0"/>
              </w:rPr>
              <w:t>行业洞察与定制化服务</w:t>
            </w:r>
          </w:p>
        </w:tc>
        <w:tc>
          <w:tcPr>
            <w:tcW w:w="1020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both"/>
              <w:textAlignment w:val="auto"/>
            </w:pPr>
            <w:r>
              <w:rPr>
                <w:rFonts w:hint="eastAsia"/>
                <w:color w:val="0070C0"/>
              </w:rPr>
              <w:t>推出行业定制版，满足不同行业需求；提供一对一的定制化服务，满足企业个性化需求</w:t>
            </w:r>
          </w:p>
        </w:tc>
      </w:tr>
      <w:tr>
        <w:tblPrEx>
          <w:tblBorders>
            <w:top w:val="double" w:color="FF0000" w:sz="12" w:space="0"/>
            <w:left w:val="none" w:color="auto" w:sz="0" w:space="0"/>
            <w:bottom w:val="double" w:color="FF0000" w:sz="12" w:space="0"/>
            <w:right w:val="none" w:color="auto" w:sz="0" w:space="0"/>
            <w:insideH w:val="single" w:color="FF0000" w:sz="4" w:space="0"/>
            <w:insideV w:val="single" w:color="FF0000" w:sz="4" w:space="0"/>
          </w:tblBorders>
          <w:tblCellMar>
            <w:top w:w="0" w:type="dxa"/>
            <w:left w:w="108" w:type="dxa"/>
            <w:bottom w:w="0" w:type="dxa"/>
            <w:right w:w="108" w:type="dxa"/>
          </w:tblCellMar>
        </w:tblPrEx>
        <w:trPr>
          <w:trHeight w:val="567" w:hRule="atLeast"/>
          <w:jc w:val="center"/>
        </w:trPr>
        <w:tc>
          <w:tcPr>
            <w:tcW w:w="340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both"/>
              <w:textAlignment w:val="auto"/>
            </w:pPr>
            <w:r>
              <w:rPr>
                <w:rFonts w:hint="eastAsia"/>
                <w:color w:val="0070C0"/>
              </w:rPr>
              <w:t>用户基础与口碑传播</w:t>
            </w:r>
          </w:p>
        </w:tc>
        <w:tc>
          <w:tcPr>
            <w:tcW w:w="1020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both"/>
              <w:textAlignment w:val="auto"/>
            </w:pPr>
            <w:r>
              <w:rPr>
                <w:rFonts w:hint="eastAsia"/>
                <w:color w:val="0070C0"/>
              </w:rPr>
              <w:t>庞大的用户基础，形成口碑传播效应；企业用户高度评价并推荐钉钉给更多企业</w:t>
            </w:r>
          </w:p>
        </w:tc>
      </w:tr>
      <w:tr>
        <w:tblPrEx>
          <w:tblBorders>
            <w:top w:val="double" w:color="FF0000" w:sz="12" w:space="0"/>
            <w:left w:val="none" w:color="auto" w:sz="0" w:space="0"/>
            <w:bottom w:val="double" w:color="FF0000" w:sz="12" w:space="0"/>
            <w:right w:val="none" w:color="auto" w:sz="0" w:space="0"/>
            <w:insideH w:val="single" w:color="FF0000" w:sz="4" w:space="0"/>
            <w:insideV w:val="single" w:color="FF0000" w:sz="4" w:space="0"/>
          </w:tblBorders>
          <w:tblCellMar>
            <w:top w:w="0" w:type="dxa"/>
            <w:left w:w="108" w:type="dxa"/>
            <w:bottom w:w="0" w:type="dxa"/>
            <w:right w:w="108" w:type="dxa"/>
          </w:tblCellMar>
        </w:tblPrEx>
        <w:trPr>
          <w:trHeight w:val="567" w:hRule="atLeast"/>
          <w:jc w:val="center"/>
        </w:trPr>
        <w:tc>
          <w:tcPr>
            <w:tcW w:w="340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both"/>
              <w:textAlignment w:val="auto"/>
            </w:pPr>
            <w:r>
              <w:rPr>
                <w:rFonts w:hint="eastAsia"/>
                <w:color w:val="0070C0"/>
              </w:rPr>
              <w:t>创新与升级</w:t>
            </w:r>
          </w:p>
        </w:tc>
        <w:tc>
          <w:tcPr>
            <w:tcW w:w="1020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both"/>
              <w:textAlignment w:val="auto"/>
            </w:pPr>
            <w:r>
              <w:rPr>
                <w:rFonts w:hint="eastAsia"/>
                <w:color w:val="0070C0"/>
              </w:rPr>
              <w:t>不断推出新功能、优化产品性能；持续提升用户体验，保持领先地位</w:t>
            </w:r>
          </w:p>
        </w:tc>
      </w:tr>
      <w:bookmarkEnd w:id="0"/>
    </w:tbl>
    <w:p>
      <w:pPr>
        <w:pStyle w:val="6"/>
        <w:rPr>
          <w:rFonts w:hint="eastAsia" w:eastAsia="宋体"/>
          <w:lang w:eastAsia="zh-CN"/>
        </w:rPr>
      </w:pPr>
      <w:r>
        <w:t xml:space="preserve">表 </w:t>
      </w:r>
      <w:r>
        <w:fldChar w:fldCharType="begin"/>
      </w:r>
      <w:r>
        <w:instrText xml:space="preserve"> SEQ 表 \* CHINESENUM1 </w:instrText>
      </w:r>
      <w:r>
        <w:fldChar w:fldCharType="separate"/>
      </w:r>
      <w:r>
        <w:t>一</w:t>
      </w:r>
      <w:r>
        <w:fldChar w:fldCharType="end"/>
      </w:r>
      <w:r>
        <w:rPr>
          <w:rFonts w:hint="eastAsia"/>
          <w:lang w:eastAsia="zh-CN"/>
        </w:rPr>
        <w:t xml:space="preserve"> 成功因素</w:t>
      </w:r>
    </w:p>
    <w:p>
      <w:pPr>
        <w:ind w:left="0" w:leftChars="0" w:firstLine="0" w:firstLineChars="0"/>
        <w:rPr>
          <w:rFonts w:hint="eastAsia" w:eastAsia="宋体"/>
          <w:lang w:eastAsia="zh-CN"/>
        </w:rPr>
      </w:pPr>
    </w:p>
    <w:sectPr>
      <w:type w:val="continuous"/>
      <w:pgSz w:w="16838" w:h="23811"/>
      <w:pgMar w:top="1701" w:right="1701" w:bottom="1701" w:left="1701" w:header="851" w:footer="992" w:gutter="0"/>
      <w:pgBorders>
        <w:top w:val="none" w:sz="0" w:space="0"/>
        <w:left w:val="none" w:sz="0" w:space="0"/>
        <w:bottom w:val="none" w:sz="0" w:space="0"/>
        <w:right w:val="none" w:sz="0" w:space="0"/>
      </w:pgBorders>
      <w:pgNumType w:fmt="chineseLegalSimplified"/>
      <w:cols w:space="0" w:num="1"/>
      <w:rtlGutter w:val="0"/>
      <w:docGrid w:type="linesAndChars" w:linePitch="312" w:charSpace="-67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14"/>
      </w:pPr>
      <w:r>
        <w:separator/>
      </w:r>
    </w:p>
  </w:endnote>
  <w:endnote w:type="continuationSeparator" w:id="1">
    <w:p>
      <w:pPr>
        <w:ind w:firstLine="41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14"/>
      </w:pPr>
      <w:r>
        <w:separator/>
      </w:r>
    </w:p>
  </w:footnote>
  <w:footnote w:type="continuationSeparator" w:id="1">
    <w:p>
      <w:pPr>
        <w:spacing w:before="0" w:after="0"/>
        <w:ind w:firstLine="414"/>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documentProtection w:enforcement="0"/>
  <w:defaultTabStop w:val="420"/>
  <w:drawingGridHorizontalSpacing w:val="103"/>
  <w:drawingGridVerticalSpacing w:val="156"/>
  <w:displayHorizontalDrawingGridEvery w:val="2"/>
  <w:displayVerticalDrawingGridEvery w:val="2"/>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QwNzdkNTI0ZmEyODlhNmVjYjU4ZGU0YTBmMWRhMTcifQ=="/>
  </w:docVars>
  <w:rsids>
    <w:rsidRoot w:val="00000000"/>
    <w:rsid w:val="07D7239C"/>
    <w:rsid w:val="095867BD"/>
    <w:rsid w:val="0B297490"/>
    <w:rsid w:val="0B626DAE"/>
    <w:rsid w:val="0C403756"/>
    <w:rsid w:val="0D731909"/>
    <w:rsid w:val="0F76123D"/>
    <w:rsid w:val="17E0784A"/>
    <w:rsid w:val="1AB8008C"/>
    <w:rsid w:val="22792A84"/>
    <w:rsid w:val="239C18AF"/>
    <w:rsid w:val="27171A7E"/>
    <w:rsid w:val="27441EF5"/>
    <w:rsid w:val="290F63AB"/>
    <w:rsid w:val="295020B2"/>
    <w:rsid w:val="2BD01FBD"/>
    <w:rsid w:val="31755DD2"/>
    <w:rsid w:val="33C74E4E"/>
    <w:rsid w:val="3BE253E0"/>
    <w:rsid w:val="40055B41"/>
    <w:rsid w:val="48C6021B"/>
    <w:rsid w:val="4A99157B"/>
    <w:rsid w:val="50C56507"/>
    <w:rsid w:val="515560E8"/>
    <w:rsid w:val="51DF2696"/>
    <w:rsid w:val="54CC1BD2"/>
    <w:rsid w:val="608D6FB6"/>
    <w:rsid w:val="60B145B2"/>
    <w:rsid w:val="61440E5B"/>
    <w:rsid w:val="67B7523A"/>
    <w:rsid w:val="6D68758C"/>
    <w:rsid w:val="73D81A59"/>
    <w:rsid w:val="75CE0A62"/>
    <w:rsid w:val="77737259"/>
    <w:rsid w:val="782F1C1E"/>
    <w:rsid w:val="7AF56079"/>
    <w:rsid w:val="7C904B36"/>
    <w:rsid w:val="7F6138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25" w:beforeLines="25" w:after="25" w:afterLines="25"/>
      <w:ind w:firstLine="643" w:firstLineChars="20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Lines="0" w:beforeAutospacing="0" w:afterLines="0" w:afterAutospacing="0" w:line="240" w:lineRule="auto"/>
      <w:ind w:firstLine="0" w:firstLineChars="0"/>
      <w:outlineLvl w:val="1"/>
    </w:pPr>
    <w:rPr>
      <w:sz w:val="28"/>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2023-11-11T05:11:00Z</dcterms:created>
  <dc:creator>84394</dc:creator>
  <cp:lastModifiedBy>湖北技能高考-陈欢</cp:lastModifiedBy>
  <dcterms:modified xsi:type="dcterms:W3CDTF">2024-08-13T05:40:53Z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133C6F2BB71948D5A9A78937D6D81665_12</vt:lpwstr>
  </property>
</Properties>
</file>