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CFCFC">
    <v:background id="_x0000_s1025">
      <v:fill type="tile" on="t" o:title="素材1" focussize="0,0" recolor="t" r:id="rId8"/>
    </v:background>
  </w:background>
  <w:body>
    <w:p>
      <w:pPr>
        <w:keepNext w:val="0"/>
        <w:keepLines w:val="0"/>
        <w:pageBreakBefore w:val="0"/>
        <w:widowControl w:val="0"/>
        <w:tabs>
          <w:tab w:val="left" w:pos="2430"/>
        </w:tabs>
        <w:kinsoku/>
        <w:wordWrap/>
        <w:overflowPunct/>
        <w:topLinePunct w:val="0"/>
        <w:autoSpaceDE/>
        <w:autoSpaceDN/>
        <w:bidi w:val="0"/>
        <w:adjustRightInd/>
        <w:snapToGrid/>
        <w:jc w:val="center"/>
        <w:textAlignment w:val="auto"/>
        <w:rPr>
          <w:rFonts w:hint="eastAsia" w:ascii="微软雅黑" w:hAnsi="微软雅黑" w:eastAsia="微软雅黑" w:cs="微软雅黑"/>
          <w:b/>
          <w:bCs/>
          <w:i/>
          <w:iCs/>
          <w:color w:val="0070C0"/>
          <w:sz w:val="44"/>
          <w:szCs w:val="44"/>
          <w:lang w:eastAsia="zh-CN"/>
          <w14:reflection w14:blurRad="6350" w14:stA="55000" w14:stPos="0" w14:endA="50" w14:endPos="85000" w14:dist="60007" w14:dir="5400000" w14:fadeDir="5400000" w14:sx="100000" w14:sy="-100000" w14:kx="0" w14:algn="bl"/>
        </w:rPr>
      </w:pPr>
      <w:r>
        <w:rPr>
          <w:rFonts w:hint="eastAsia" w:ascii="微软雅黑" w:hAnsi="微软雅黑" w:eastAsia="微软雅黑" w:cs="微软雅黑"/>
          <w:b/>
          <w:bCs/>
          <w:i/>
          <w:iCs/>
          <w:color w:val="0070C0"/>
          <w:sz w:val="44"/>
          <w:szCs w:val="44"/>
          <w:lang w:eastAsia="zh-CN"/>
          <w14:reflection w14:blurRad="6350" w14:stA="55000" w14:stPos="0" w14:endA="50" w14:endPos="85000" w14:dist="60007" w14:dir="5400000" w14:fadeDir="5400000" w14:sx="100000" w14:sy="-100000" w14:kx="0" w14:algn="bl"/>
        </w:rPr>
        <w:t>稻田里的卓越“魔法师”</w:t>
      </w:r>
    </w:p>
    <w:p>
      <w:pPr>
        <w:pStyle w:val="2"/>
        <w:numPr>
          <w:ilvl w:val="0"/>
          <w:numId w:val="1"/>
        </w:numPr>
        <w:bidi w:val="0"/>
        <w:ind w:left="420" w:leftChars="0" w:hanging="420" w:firstLineChars="0"/>
        <w:rPr>
          <w:rFonts w:hint="eastAsia"/>
          <w:lang w:eastAsia="zh-CN"/>
        </w:rPr>
      </w:pPr>
      <w:r>
        <w:rPr>
          <w:rFonts w:hint="eastAsia"/>
          <w:lang w:eastAsia="zh-CN"/>
        </w:rPr>
        <w:t>梦想的种子：坚韧与执着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lang w:eastAsia="zh-CN"/>
        </w:rPr>
        <w:t>1930年，袁隆平出生于江西一个充满勤劳与智慧的农民家庭。他自幼深受家乡农田的熏陶，目睹了父辈们辛勤劳作的身影和农民们因粮食短缺而受的苦难。这些经历在他心中种下了梦想的种子：他立志要成为一名农业科学家，通过科技的力量让稻谷产量翻番，为家乡乃至全国的农民们带来丰收的希望。袁隆平怀揣着这份坚韧与执着，开始了他人生的旅程。</w:t>
      </w:r>
    </w:p>
    <w:p>
      <w:pPr>
        <w:pStyle w:val="2"/>
        <w:numPr>
          <w:ilvl w:val="0"/>
          <w:numId w:val="1"/>
        </w:numPr>
        <w:bidi w:val="0"/>
        <w:ind w:left="420" w:leftChars="0" w:hanging="420" w:firstLineChars="0"/>
        <w:rPr>
          <w:rFonts w:hint="eastAsia"/>
          <w:lang w:eastAsia="zh-CN"/>
        </w:rPr>
      </w:pPr>
      <w:r>
        <w:rPr>
          <w:rFonts w:hint="eastAsia"/>
          <w:lang w:eastAsia="zh-CN"/>
        </w:rPr>
        <w:t>科研之路：勇敢与创新</w:t>
      </w:r>
    </w:p>
    <w:p>
      <w:pPr>
        <w:bidi w:val="0"/>
        <w:rPr>
          <w:rFonts w:hint="eastAsia"/>
          <w:lang w:eastAsia="zh-CN"/>
        </w:rPr>
      </w:pPr>
      <w:r>
        <w:rPr>
          <w:rFonts w:hint="eastAsia"/>
          <w:lang w:eastAsia="zh-CN"/>
        </w:rPr>
        <w:t>1960年，袁隆平踏上了科研之路。他深知传统农业已经无法满足日益增长的粮食需求，必须寻找新的突破点。在一次偶然的机会中，他发现了一种具有高产、抗病、抗虫特性的特殊稻种。这一发现如同明灯照亮了他的科研方向。</w:t>
      </w:r>
    </w:p>
    <w:p>
      <w:pPr>
        <w:bidi w:val="0"/>
        <w:rPr>
          <w:rFonts w:hint="eastAsia"/>
          <w:lang w:eastAsia="zh-CN"/>
        </w:rPr>
      </w:pPr>
      <w:r>
        <w:rPr>
          <w:rFonts w:hint="eastAsia"/>
          <w:lang w:eastAsia="zh-CN"/>
        </w:rPr>
        <w:t>他勇敢地面对各种困难和挑战，不畏艰辛地开展了无数次的试验和改良。经过无数个日夜的勤奋工作，他成功培育出了第一代杂交水稻。这一创新性的成果不仅使中国的稻谷产量得到了巨大提升，也奠定了袁隆平在农业科学界的权威地位。</w:t>
      </w:r>
    </w:p>
    <w:p>
      <w:pPr>
        <w:pStyle w:val="2"/>
        <w:numPr>
          <w:ilvl w:val="0"/>
          <w:numId w:val="1"/>
        </w:numPr>
        <w:bidi w:val="0"/>
        <w:ind w:left="420" w:leftChars="0" w:hanging="420" w:firstLineChars="0"/>
        <w:rPr>
          <w:rFonts w:hint="eastAsia"/>
          <w:lang w:eastAsia="zh-CN"/>
        </w:rPr>
      </w:pPr>
      <w:bookmarkStart w:id="0" w:name="成就"/>
      <w:r>
        <w:rPr>
          <w:rFonts w:hint="eastAsia"/>
          <w:lang w:eastAsia="zh-CN"/>
        </w:rPr>
        <w:t>世界的袁隆平：卓越与影响</w:t>
      </w:r>
    </w:p>
    <w:bookmarkEnd w:id="0"/>
    <w:p>
      <w:pPr>
        <w:bidi w:val="0"/>
        <w:rPr>
          <w:rFonts w:hint="eastAsia"/>
          <w:lang w:eastAsia="zh-CN"/>
        </w:rPr>
      </w:pPr>
      <w:r>
        <w:rPr>
          <w:rFonts w:hint="eastAsia"/>
          <w:lang w:eastAsia="zh-CN"/>
        </w:rPr>
        <w:t>袁隆平的成就不仅仅局限于中国。他的杂交水稻技术被推广到全世界，为许多发展中国家解决了粮食短缺的紧迫问题。他的贡献在全球范围内产生了广泛而深远的影响，被誉为“杂交水稻之父”。他的卓越成就为世界农业科学的发展作出了不可磨灭的贡献。袁隆平的主要成就。</w:t>
      </w:r>
    </w:p>
    <w:p>
      <w:pPr>
        <w:pStyle w:val="3"/>
        <w:rPr>
          <w:rFonts w:hint="eastAsia" w:eastAsia="宋体"/>
          <w:lang w:eastAsia="zh-CN"/>
        </w:rPr>
      </w:pPr>
      <w:r>
        <w:t xml:space="preserve">图表 </w:t>
      </w:r>
      <w:r>
        <w:fldChar w:fldCharType="begin"/>
      </w:r>
      <w:r>
        <w:instrText xml:space="preserve"> SEQ 图表 \* CHINESENUM1 </w:instrText>
      </w:r>
      <w:r>
        <w:fldChar w:fldCharType="separate"/>
      </w:r>
      <w:r>
        <w:t>一</w:t>
      </w:r>
      <w:r>
        <w:fldChar w:fldCharType="end"/>
      </w:r>
      <w:r>
        <w:rPr>
          <w:rFonts w:hint="eastAsia"/>
          <w:lang w:eastAsia="zh-CN"/>
        </w:rPr>
        <w:t xml:space="preserve"> 事件成就表</w:t>
      </w:r>
    </w:p>
    <w:tbl>
      <w:tblPr>
        <w:tblStyle w:val="7"/>
        <w:tblW w:w="9071" w:type="dxa"/>
        <w:jc w:val="center"/>
        <w:tblBorders>
          <w:top w:val="double" w:color="0070C0" w:sz="18" w:space="0"/>
          <w:left w:val="double" w:color="0070C0" w:sz="18" w:space="0"/>
          <w:bottom w:val="double" w:color="0070C0" w:sz="18" w:space="0"/>
          <w:right w:val="double" w:color="0070C0" w:sz="18" w:space="0"/>
          <w:insideH w:val="single" w:color="0070C0" w:sz="4" w:space="0"/>
          <w:insideV w:val="single" w:color="0070C0" w:sz="4" w:space="0"/>
        </w:tblBorders>
        <w:tblLayout w:type="autofit"/>
        <w:tblCellMar>
          <w:top w:w="0" w:type="dxa"/>
          <w:left w:w="108" w:type="dxa"/>
          <w:bottom w:w="0" w:type="dxa"/>
          <w:right w:w="108" w:type="dxa"/>
        </w:tblCellMar>
      </w:tblPr>
      <w:tblGrid>
        <w:gridCol w:w="2268"/>
        <w:gridCol w:w="6803"/>
      </w:tblGrid>
      <w:tr>
        <w:tblPrEx>
          <w:tblBorders>
            <w:top w:val="double" w:color="0070C0" w:sz="18" w:space="0"/>
            <w:left w:val="double" w:color="0070C0" w:sz="18" w:space="0"/>
            <w:bottom w:val="double" w:color="0070C0" w:sz="18" w:space="0"/>
            <w:right w:val="double" w:color="0070C0" w:sz="18" w:space="0"/>
            <w:insideH w:val="single" w:color="0070C0" w:sz="4" w:space="0"/>
            <w:insideV w:val="single" w:color="0070C0" w:sz="4" w:space="0"/>
          </w:tblBorders>
          <w:tblCellMar>
            <w:top w:w="0" w:type="dxa"/>
            <w:left w:w="108" w:type="dxa"/>
            <w:bottom w:w="0" w:type="dxa"/>
            <w:right w:w="108" w:type="dxa"/>
          </w:tblCellMar>
        </w:tblPrEx>
        <w:trPr>
          <w:trHeight w:val="454" w:hRule="exact"/>
          <w:jc w:val="center"/>
        </w:trPr>
        <w:tc>
          <w:tcPr>
            <w:tcW w:w="226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年份</w:t>
            </w:r>
          </w:p>
        </w:tc>
        <w:tc>
          <w:tcPr>
            <w:tcW w:w="680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成就</w:t>
            </w:r>
          </w:p>
        </w:tc>
      </w:tr>
      <w:tr>
        <w:tblPrEx>
          <w:tblBorders>
            <w:top w:val="double" w:color="0070C0" w:sz="18" w:space="0"/>
            <w:left w:val="double" w:color="0070C0" w:sz="18" w:space="0"/>
            <w:bottom w:val="double" w:color="0070C0" w:sz="18" w:space="0"/>
            <w:right w:val="double" w:color="0070C0" w:sz="18" w:space="0"/>
            <w:insideH w:val="single" w:color="0070C0" w:sz="4" w:space="0"/>
            <w:insideV w:val="single" w:color="0070C0" w:sz="4" w:space="0"/>
          </w:tblBorders>
          <w:tblCellMar>
            <w:top w:w="0" w:type="dxa"/>
            <w:left w:w="108" w:type="dxa"/>
            <w:bottom w:w="0" w:type="dxa"/>
            <w:right w:w="108" w:type="dxa"/>
          </w:tblCellMar>
        </w:tblPrEx>
        <w:trPr>
          <w:trHeight w:val="454" w:hRule="exact"/>
          <w:jc w:val="center"/>
        </w:trPr>
        <w:tc>
          <w:tcPr>
            <w:tcW w:w="226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1964年</w:t>
            </w:r>
          </w:p>
        </w:tc>
        <w:tc>
          <w:tcPr>
            <w:tcW w:w="680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发现具有高产、抗病、抗虫特性的特殊稻种</w:t>
            </w:r>
          </w:p>
        </w:tc>
      </w:tr>
      <w:tr>
        <w:tblPrEx>
          <w:tblBorders>
            <w:top w:val="double" w:color="0070C0" w:sz="18" w:space="0"/>
            <w:left w:val="double" w:color="0070C0" w:sz="18" w:space="0"/>
            <w:bottom w:val="double" w:color="0070C0" w:sz="18" w:space="0"/>
            <w:right w:val="double" w:color="0070C0" w:sz="18" w:space="0"/>
            <w:insideH w:val="single" w:color="0070C0" w:sz="4" w:space="0"/>
            <w:insideV w:val="single" w:color="0070C0" w:sz="4" w:space="0"/>
          </w:tblBorders>
          <w:tblCellMar>
            <w:top w:w="0" w:type="dxa"/>
            <w:left w:w="108" w:type="dxa"/>
            <w:bottom w:w="0" w:type="dxa"/>
            <w:right w:w="108" w:type="dxa"/>
          </w:tblCellMar>
        </w:tblPrEx>
        <w:trPr>
          <w:trHeight w:val="454" w:hRule="exact"/>
          <w:jc w:val="center"/>
        </w:trPr>
        <w:tc>
          <w:tcPr>
            <w:tcW w:w="226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1974年</w:t>
            </w:r>
          </w:p>
        </w:tc>
        <w:tc>
          <w:tcPr>
            <w:tcW w:w="680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成功培育出第一代杂交水稻，实现稻谷产量的大幅提升</w:t>
            </w:r>
          </w:p>
        </w:tc>
      </w:tr>
      <w:tr>
        <w:tblPrEx>
          <w:tblBorders>
            <w:top w:val="double" w:color="0070C0" w:sz="18" w:space="0"/>
            <w:left w:val="double" w:color="0070C0" w:sz="18" w:space="0"/>
            <w:bottom w:val="double" w:color="0070C0" w:sz="18" w:space="0"/>
            <w:right w:val="double" w:color="0070C0" w:sz="18" w:space="0"/>
            <w:insideH w:val="single" w:color="0070C0" w:sz="4" w:space="0"/>
            <w:insideV w:val="single" w:color="0070C0" w:sz="4" w:space="0"/>
          </w:tblBorders>
          <w:tblCellMar>
            <w:top w:w="0" w:type="dxa"/>
            <w:left w:w="108" w:type="dxa"/>
            <w:bottom w:w="0" w:type="dxa"/>
            <w:right w:w="108" w:type="dxa"/>
          </w:tblCellMar>
        </w:tblPrEx>
        <w:trPr>
          <w:trHeight w:val="454" w:hRule="exact"/>
          <w:jc w:val="center"/>
        </w:trPr>
        <w:tc>
          <w:tcPr>
            <w:tcW w:w="226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1981年</w:t>
            </w:r>
          </w:p>
        </w:tc>
        <w:tc>
          <w:tcPr>
            <w:tcW w:w="680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获得国家最高科学技术奖，彰显其科研实力的肯定</w:t>
            </w:r>
          </w:p>
        </w:tc>
      </w:tr>
      <w:tr>
        <w:tblPrEx>
          <w:tblBorders>
            <w:top w:val="double" w:color="0070C0" w:sz="18" w:space="0"/>
            <w:left w:val="double" w:color="0070C0" w:sz="18" w:space="0"/>
            <w:bottom w:val="double" w:color="0070C0" w:sz="18" w:space="0"/>
            <w:right w:val="double" w:color="0070C0" w:sz="18" w:space="0"/>
            <w:insideH w:val="single" w:color="0070C0" w:sz="4" w:space="0"/>
            <w:insideV w:val="single" w:color="0070C0" w:sz="4" w:space="0"/>
          </w:tblBorders>
          <w:tblCellMar>
            <w:top w:w="0" w:type="dxa"/>
            <w:left w:w="108" w:type="dxa"/>
            <w:bottom w:w="0" w:type="dxa"/>
            <w:right w:w="108" w:type="dxa"/>
          </w:tblCellMar>
        </w:tblPrEx>
        <w:trPr>
          <w:trHeight w:val="454" w:hRule="exact"/>
          <w:jc w:val="center"/>
        </w:trPr>
        <w:tc>
          <w:tcPr>
            <w:tcW w:w="226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1985年</w:t>
            </w:r>
          </w:p>
        </w:tc>
        <w:tc>
          <w:tcPr>
            <w:tcW w:w="680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被授予“世界粮食奖”，成为世界农业科学界的佼佼者</w:t>
            </w:r>
          </w:p>
        </w:tc>
      </w:tr>
      <w:tr>
        <w:tblPrEx>
          <w:tblBorders>
            <w:top w:val="double" w:color="0070C0" w:sz="18" w:space="0"/>
            <w:left w:val="double" w:color="0070C0" w:sz="18" w:space="0"/>
            <w:bottom w:val="double" w:color="0070C0" w:sz="18" w:space="0"/>
            <w:right w:val="double" w:color="0070C0" w:sz="18" w:space="0"/>
            <w:insideH w:val="single" w:color="0070C0" w:sz="4" w:space="0"/>
            <w:insideV w:val="single" w:color="0070C0" w:sz="4" w:space="0"/>
          </w:tblBorders>
          <w:tblCellMar>
            <w:top w:w="0" w:type="dxa"/>
            <w:left w:w="108" w:type="dxa"/>
            <w:bottom w:w="0" w:type="dxa"/>
            <w:right w:w="108" w:type="dxa"/>
          </w:tblCellMar>
        </w:tblPrEx>
        <w:trPr>
          <w:trHeight w:val="454" w:hRule="exact"/>
          <w:jc w:val="center"/>
        </w:trPr>
        <w:tc>
          <w:tcPr>
            <w:tcW w:w="2268"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2004年</w:t>
            </w:r>
          </w:p>
        </w:tc>
        <w:tc>
          <w:tcPr>
            <w:tcW w:w="6803"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rPr>
            </w:pPr>
            <w:r>
              <w:rPr>
                <w:rFonts w:hint="eastAsia" w:ascii="宋体" w:hAnsi="宋体" w:eastAsia="宋体" w:cs="宋体"/>
                <w:color w:val="auto"/>
                <w:sz w:val="21"/>
                <w:szCs w:val="24"/>
                <w:lang w:eastAsia="zh-CN"/>
              </w:rPr>
              <w:t>被评为“感动中国十大人物”，展现其卓越的贡献和影响力</w:t>
            </w:r>
          </w:p>
        </w:tc>
      </w:tr>
    </w:tbl>
    <w:p>
      <w:pPr>
        <w:bidi w:val="0"/>
        <w:rPr>
          <w:rFonts w:hint="eastAsia"/>
          <w:lang w:eastAsia="zh-CN"/>
        </w:rPr>
      </w:pPr>
      <w:r>
        <w:rPr>
          <w:rFonts w:hint="eastAsia"/>
          <w:lang w:eastAsia="zh-CN"/>
        </w:rPr>
        <w:t>袁隆平站在金黄的稻田中，笑容满面，眼神中透露出对这片土地和稻谷的热爱。他的身影与稻田融为一体，仿佛是大自然的恩赐，赋予了这片土地无尽的生机与希望。</w:t>
      </w:r>
    </w:p>
    <w:p>
      <w:pPr>
        <w:pStyle w:val="2"/>
        <w:numPr>
          <w:ilvl w:val="0"/>
          <w:numId w:val="1"/>
        </w:numPr>
        <w:bidi w:val="0"/>
        <w:ind w:left="420" w:leftChars="0" w:hanging="420" w:firstLineChars="0"/>
        <w:rPr>
          <w:rFonts w:hint="eastAsia"/>
          <w:lang w:eastAsia="zh-CN"/>
        </w:rPr>
      </w:pPr>
      <w:r>
        <w:rPr>
          <w:rFonts w:hint="eastAsia"/>
          <w:lang w:eastAsia="zh-CN"/>
        </w:rPr>
        <w:t>传承与创新：智慧与启迪</w:t>
      </w:r>
    </w:p>
    <w:p>
      <w:pPr>
        <w:bidi w:val="0"/>
        <w:rPr>
          <w:rFonts w:hint="eastAsia"/>
          <w:lang w:eastAsia="zh-CN"/>
        </w:rPr>
      </w:pPr>
      <w:r>
        <w:rPr>
          <w:rFonts w:hint="eastAsia"/>
          <w:lang w:eastAsia="zh-CN"/>
        </w:rPr>
        <w:t>尽管袁隆平已经取得了令人瞩目的成就，但他从未停止追求卓越的步伐。他深知农业的发展需要与时俱进，因此在致力于培育杂交水稻的同时，他也关注着新的农业技术和种植方法的发展。他鼓励年轻一代的农业科学家勇于创新，敢于挑战传统观念，为农业的现代化和可持续发展贡献智慧和力量。</w:t>
      </w:r>
    </w:p>
    <w:p>
      <w:pPr>
        <w:bidi w:val="0"/>
        <w:rPr>
          <w:rFonts w:hint="eastAsia"/>
          <w:lang w:eastAsia="zh-CN"/>
        </w:rPr>
      </w:pPr>
      <w:r>
        <w:rPr>
          <w:rFonts w:hint="eastAsia"/>
          <w:lang w:eastAsia="zh-CN"/>
        </w:rPr>
        <w:t>他不仅在实验室里进行科研，还将自己的研究成果无偿地分享给农民，帮助他们提高稻谷产量，改善生活质量。他深入田间地头，与农民面对面交流，倾听他们的需求和困难，为他们提供切实可行的解决方案。他的智慧和启迪不仅体现在科研成果上，更体现在他对农业发展的深刻思考和贡献上。</w:t>
      </w:r>
    </w:p>
    <w:p>
      <w:pPr>
        <w:pStyle w:val="2"/>
        <w:numPr>
          <w:ilvl w:val="0"/>
          <w:numId w:val="1"/>
        </w:numPr>
        <w:bidi w:val="0"/>
        <w:ind w:left="420" w:leftChars="0" w:hanging="420" w:firstLineChars="0"/>
        <w:rPr>
          <w:rFonts w:hint="eastAsia"/>
          <w:lang w:eastAsia="zh-CN"/>
        </w:rPr>
      </w:pPr>
      <w:r>
        <w:rPr>
          <w:rFonts w:hint="eastAsia"/>
          <w:lang w:eastAsia="zh-CN"/>
        </w:rPr>
        <w:t>心系民生：责任与担当</w:t>
      </w:r>
    </w:p>
    <w:p>
      <w:pPr>
        <w:bidi w:val="0"/>
        <w:rPr>
          <w:rFonts w:hint="eastAsia"/>
          <w:lang w:eastAsia="zh-CN"/>
        </w:rPr>
      </w:pPr>
      <w:r>
        <w:rPr>
          <w:rFonts w:hint="eastAsia"/>
          <w:lang w:eastAsia="zh-CN"/>
        </w:rPr>
        <w:t>除了科研之外，袁隆平还十分关心农民的生活。他深知农民是农业发展的基石，他们的福祉直接关系到国家的稳定和发展。因此，他始终将农民的利益放在心中最高的位置，用自己的科研成果为他们带来实实在在的利益。</w:t>
      </w:r>
    </w:p>
    <w:p>
      <w:pPr>
        <w:bidi w:val="0"/>
        <w:rPr>
          <w:rFonts w:hint="eastAsia"/>
          <w:lang w:eastAsia="zh-CN"/>
        </w:rPr>
      </w:pPr>
      <w:r>
        <w:rPr>
          <w:rFonts w:hint="eastAsia"/>
          <w:lang w:eastAsia="zh-CN"/>
        </w:rPr>
        <w:t>他多次深入田间地头，与农民交流互动，了解他们的实际需求和困难。他积极推广先进的农业技术和种植方法，帮助农民提高稻谷产量，增加收入。他还关注农民的生活环境和健康状况，为他们提供力所能及的帮助和支持。袁隆平用自己的行动诠释了一个科学家对民生的关心和责任担当。</w:t>
      </w:r>
    </w:p>
    <w:p>
      <w:pPr>
        <w:pStyle w:val="2"/>
        <w:numPr>
          <w:ilvl w:val="0"/>
          <w:numId w:val="1"/>
        </w:numPr>
        <w:bidi w:val="0"/>
        <w:ind w:left="420" w:leftChars="0" w:hanging="420" w:firstLineChars="0"/>
        <w:rPr>
          <w:rFonts w:hint="eastAsia"/>
          <w:lang w:eastAsia="zh-CN"/>
        </w:rPr>
      </w:pPr>
      <w:r>
        <w:rPr>
          <w:rFonts w:hint="eastAsia"/>
          <w:lang w:eastAsia="zh-CN"/>
        </w:rPr>
        <w:t>永远的稻田守望者：热爱与奉献</w:t>
      </w:r>
    </w:p>
    <w:p>
      <w:pPr>
        <w:bidi w:val="0"/>
        <w:rPr>
          <w:rFonts w:hint="eastAsia"/>
          <w:lang w:eastAsia="zh-CN"/>
        </w:rPr>
      </w:pPr>
      <w:r>
        <w:rPr>
          <w:rFonts w:hint="eastAsia"/>
          <w:lang w:eastAsia="zh-CN"/>
        </w:rPr>
        <w:t>袁隆平的一生都在与稻田为伴，他将自己的一生献给了农业科学事业。即使在晚年，他依然坚持每天到稻田里查看稻苗的生长情况，记录下每一个细微的变化。他用自己的行动诠释了一个科学家对事业的热爱和奉献精神。</w:t>
      </w:r>
    </w:p>
    <w:p>
      <w:pPr>
        <w:bidi w:val="0"/>
        <w:rPr>
          <w:rFonts w:hint="eastAsia"/>
          <w:lang w:eastAsia="zh-CN"/>
        </w:rPr>
      </w:pPr>
      <w:r>
        <w:rPr>
          <w:rFonts w:hint="eastAsia"/>
          <w:lang w:eastAsia="zh-CN"/>
        </w:rPr>
        <w:t>他对稻田的守望不仅仅是对科学的追求，更是对生命的尊重和热爱。他深知每一颗稻谷都承载着农民的辛勤付出和希望，因此他始终将自己的科研成果与农民的利益紧密相连。他的奉献精神和热爱之情将永远铭刻在历史的长河中，激励着后人不断追求卓越和贡献社会。</w:t>
      </w:r>
    </w:p>
    <w:p>
      <w:pPr>
        <w:pStyle w:val="2"/>
        <w:numPr>
          <w:ilvl w:val="0"/>
          <w:numId w:val="1"/>
        </w:numPr>
        <w:bidi w:val="0"/>
        <w:ind w:left="420" w:leftChars="0" w:hanging="420" w:firstLineChars="0"/>
        <w:rPr>
          <w:rFonts w:hint="eastAsia"/>
          <w:lang w:eastAsia="zh-CN"/>
        </w:rPr>
      </w:pPr>
      <w:r>
        <w:rPr>
          <w:rFonts w:hint="eastAsia"/>
          <w:lang w:eastAsia="zh-CN"/>
        </w:rPr>
        <w:t>永恒的记忆：敬仰与传承</w:t>
      </w:r>
    </w:p>
    <w:p>
      <w:pPr>
        <w:bidi w:val="0"/>
        <w:rPr>
          <w:rFonts w:hint="eastAsia"/>
          <w:lang w:eastAsia="zh-CN"/>
        </w:rPr>
      </w:pPr>
      <w:r>
        <w:rPr>
          <w:rFonts w:hint="eastAsia"/>
          <w:lang w:eastAsia="zh-CN"/>
        </w:rPr>
        <w:t>虽然袁隆平已经离开了我们，但他的精神和成就将永远铭刻在历史的长河中。他的故事将激励着一代又一代的科学家和农民为农业的发展和人类的福祉而努力奋斗。他的卓越贡献和无私奉献精神将永远被后人铭记和敬仰。</w:t>
      </w:r>
    </w:p>
    <w:p>
      <w:pPr>
        <w:keepNext w:val="0"/>
        <w:keepLines w:val="0"/>
        <w:pageBreakBefore w:val="0"/>
        <w:widowControl w:val="0"/>
        <w:tabs>
          <w:tab w:val="left" w:pos="2430"/>
        </w:tabs>
        <w:kinsoku/>
        <w:wordWrap/>
        <w:overflowPunct/>
        <w:topLinePunct w:val="0"/>
        <w:autoSpaceDE/>
        <w:autoSpaceDN/>
        <w:bidi w:val="0"/>
        <w:adjustRightInd/>
        <w:snapToGrid/>
        <w:textAlignment w:val="auto"/>
        <w:rPr>
          <w:rFonts w:hint="eastAsia"/>
          <w:lang w:eastAsia="zh-CN"/>
        </w:rPr>
      </w:pPr>
      <w:bookmarkStart w:id="1" w:name="_GoBack"/>
      <w:bookmarkEnd w:id="1"/>
      <w:r>
        <w:rPr>
          <w:rFonts w:hint="eastAsia"/>
          <w:lang w:eastAsia="zh-CN"/>
        </w:rPr>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2701290" cy="1800225"/>
            <wp:effectExtent l="63500" t="44450" r="73660" b="60325"/>
            <wp:wrapSquare wrapText="bothSides"/>
            <wp:docPr id="1" name="图片 1" descr="袁隆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袁隆平"/>
                    <pic:cNvPicPr>
                      <a:picLocks noChangeAspect="1"/>
                    </pic:cNvPicPr>
                  </pic:nvPicPr>
                  <pic:blipFill>
                    <a:blip r:embed="rId9"/>
                    <a:stretch>
                      <a:fillRect/>
                    </a:stretch>
                  </pic:blipFill>
                  <pic:spPr>
                    <a:xfrm>
                      <a:off x="0" y="0"/>
                      <a:ext cx="2701290" cy="1800225"/>
                    </a:xfrm>
                    <a:prstGeom prst="roundRect">
                      <a:avLst/>
                    </a:prstGeom>
                    <a:effectLst>
                      <a:glow rad="63500">
                        <a:schemeClr val="accent1">
                          <a:satMod val="175000"/>
                          <a:alpha val="40000"/>
                        </a:schemeClr>
                      </a:glow>
                    </a:effectLst>
                  </pic:spPr>
                </pic:pic>
              </a:graphicData>
            </a:graphic>
          </wp:anchor>
        </w:drawing>
      </w:r>
    </w:p>
    <w:sectPr>
      <w:headerReference r:id="rId5" w:type="default"/>
      <w:footerReference r:id="rId6" w:type="default"/>
      <w:pgSz w:w="11906" w:h="16838"/>
      <w:pgMar w:top="1701" w:right="1134" w:bottom="1134" w:left="567" w:header="851" w:footer="992" w:gutter="567"/>
      <w:paperSrc/>
      <w:pgBorders>
        <w:top w:val="none" w:sz="0" w:space="0"/>
        <w:left w:val="none" w:sz="0" w:space="0"/>
        <w:bottom w:val="none" w:sz="0" w:space="0"/>
        <w:right w:val="none" w:sz="0" w:space="0"/>
      </w:pgBorders>
      <w:pgNumType w:fmt="chineseCounting"/>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CHINESENUM3 \* MERGEFORMAT </w:instrText>
                          </w:r>
                          <w:r>
                            <w:fldChar w:fldCharType="separate"/>
                          </w:r>
                          <w:r>
                            <w:t>二</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CHINESENUM3 \* MERGEFORMAT </w:instrText>
                    </w:r>
                    <w:r>
                      <w:fldChar w:fldCharType="separate"/>
                    </w:r>
                    <w:r>
                      <w:t>二</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left="0" w:leftChars="0" w:firstLine="0" w:firstLineChars="0"/>
      <w:jc w:val="distribute"/>
      <w:rPr>
        <w:rFonts w:hint="default" w:eastAsia="宋体"/>
        <w:color w:val="FF0000"/>
        <w:lang w:val="en-US" w:eastAsia="zh-CN"/>
      </w:rPr>
    </w:pPr>
    <w:r>
      <w:rPr>
        <w:rFonts w:hint="eastAsia"/>
        <w:color w:val="FF0000"/>
        <w:lang w:val="en-US" w:eastAsia="zh-CN"/>
      </w:rPr>
      <w:t>杂交水稻之父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DF2B05"/>
    <w:multiLevelType w:val="singleLevel"/>
    <w:tmpl w:val="1CDF2B05"/>
    <w:lvl w:ilvl="0" w:tentative="0">
      <w:start w:val="1"/>
      <w:numFmt w:val="bullet"/>
      <w:lvlText w:val="l"/>
      <w:lvlJc w:val="left"/>
      <w:pPr>
        <w:ind w:left="420" w:leftChars="0" w:hanging="420" w:firstLineChars="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QwM2JlZjhkOGIxYWYxYzhkYTNhNzkyZWY2YzA1OTEifQ=="/>
  </w:docVars>
  <w:rsids>
    <w:rsidRoot w:val="59724683"/>
    <w:rsid w:val="015754F6"/>
    <w:rsid w:val="01973B44"/>
    <w:rsid w:val="01A63928"/>
    <w:rsid w:val="07D7239C"/>
    <w:rsid w:val="17FC19AE"/>
    <w:rsid w:val="188528E2"/>
    <w:rsid w:val="1C93342E"/>
    <w:rsid w:val="378F3EDE"/>
    <w:rsid w:val="42277FF1"/>
    <w:rsid w:val="491868E5"/>
    <w:rsid w:val="4BFD506C"/>
    <w:rsid w:val="55DD29A9"/>
    <w:rsid w:val="59724683"/>
    <w:rsid w:val="5A566B07"/>
    <w:rsid w:val="5BEE1922"/>
    <w:rsid w:val="61440E5B"/>
    <w:rsid w:val="66D03901"/>
    <w:rsid w:val="696372B1"/>
    <w:rsid w:val="6C8513E5"/>
    <w:rsid w:val="74BE7E02"/>
    <w:rsid w:val="750951B1"/>
    <w:rsid w:val="75EF71AC"/>
    <w:rsid w:val="7A9D11E8"/>
    <w:rsid w:val="7C6D5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firstLine="420" w:firstLineChars="200"/>
      <w:jc w:val="both"/>
    </w:pPr>
    <w:rPr>
      <w:rFonts w:ascii="Times New Roman" w:hAnsi="Times New Roman" w:eastAsia="宋体" w:cs="Times New Roman"/>
      <w:kern w:val="2"/>
      <w:sz w:val="21"/>
      <w:szCs w:val="24"/>
      <w:lang w:val="en-US" w:eastAsia="zh-CN" w:bidi="ar-SA"/>
    </w:rPr>
  </w:style>
  <w:style w:type="paragraph" w:styleId="2">
    <w:name w:val="heading 2"/>
    <w:basedOn w:val="1"/>
    <w:next w:val="1"/>
    <w:autoRedefine/>
    <w:unhideWhenUsed/>
    <w:qFormat/>
    <w:uiPriority w:val="0"/>
    <w:pPr>
      <w:keepNext/>
      <w:keepLines/>
      <w:spacing w:before="50" w:beforeLines="50" w:beforeAutospacing="0" w:after="50" w:afterLines="50" w:afterAutospacing="0" w:line="360" w:lineRule="auto"/>
      <w:outlineLvl w:val="1"/>
    </w:pPr>
    <w:rPr>
      <w:rFonts w:ascii="Calibri" w:hAnsi="Calibri" w:eastAsia="微软雅黑"/>
      <w:color w:val="0070C0"/>
      <w:sz w:val="28"/>
    </w:rPr>
  </w:style>
  <w:style w:type="character" w:default="1" w:styleId="8">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2024-03-20T02:25:00Z</dcterms:created>
  <dc:creator>MAO</dc:creator>
  <cp:lastModifiedBy>MAO</cp:lastModifiedBy>
  <dcterms:modified xsi:type="dcterms:W3CDTF">2024-05-17T02:28:31Z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FE125D1FCD9742809064C70F64640F43_11</vt:lpwstr>
  </property>
</Properties>
</file>