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color2="#FFFFFF" o:title="背景" focussize="0,0" recolor="t" r:id="rId7"/>
    </v:background>
  </w:background>
  <w:body>
    <w:p w14:paraId="3B81EB47">
      <w:pPr>
        <w:jc w:val="center"/>
        <w:rPr>
          <w:rFonts w:hint="eastAsia" w:ascii="楷体" w:hAnsi="楷体" w:eastAsia="楷体" w:cs="楷体"/>
          <w:b/>
          <w:bCs/>
          <w:color w:val="auto"/>
          <w:sz w:val="40"/>
          <w:szCs w:val="40"/>
          <w:lang w:val="en-US" w:eastAsia="zh-CN"/>
        </w:rPr>
      </w:pPr>
      <w:bookmarkStart w:id="0" w:name="_GoBack"/>
      <w:bookmarkEnd w:id="0"/>
      <w:r>
        <w:rPr>
          <w:rFonts w:hint="eastAsia" w:ascii="楷体" w:hAnsi="楷体" w:eastAsia="楷体" w:cs="楷体"/>
          <w:b/>
          <w:bCs/>
          <w:color w:val="auto"/>
          <w:sz w:val="40"/>
          <w:szCs w:val="40"/>
          <w:lang w:val="en-US" w:eastAsia="zh-CN"/>
        </w:rPr>
        <w:t>桃花源记</w:t>
      </w:r>
    </w:p>
    <w:p w14:paraId="6BAD66C0">
      <w:pPr>
        <w:jc w:val="left"/>
        <w:rPr>
          <w:rFonts w:hint="eastAsia" w:ascii="仿宋" w:hAnsi="仿宋" w:eastAsia="仿宋" w:cs="仿宋"/>
          <w:sz w:val="30"/>
          <w:szCs w:val="30"/>
          <w:shd w:val="clear" w:fill="F2BA02" w:themeFill="accent3"/>
        </w:rPr>
      </w:pPr>
      <w:r>
        <w:rPr>
          <w:rFonts w:hint="eastAsia" w:ascii="仿宋" w:hAnsi="仿宋" w:eastAsia="仿宋" w:cs="仿宋"/>
          <w:sz w:val="30"/>
          <w:szCs w:val="30"/>
          <w:shd w:val="clear" w:fill="F2BA02" w:themeFill="accent3"/>
        </w:rPr>
        <w:t>晋太元中，武陵人捕鱼为业。缘溪行，忘路之远近。忽逢桃花林，夹（jiā）岸数百步，中无杂树，芳草鲜美，落英缤纷。渔人甚异之。复前行，欲穷其林。</w:t>
      </w:r>
    </w:p>
    <w:p w14:paraId="3AB4CB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after="126" w:afterLines="40" w:line="300" w:lineRule="auto"/>
        <w:ind w:left="105" w:leftChars="50" w:right="105" w:rightChars="50" w:firstLine="560" w:firstLineChars="200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6915150</wp:posOffset>
            </wp:positionH>
            <wp:positionV relativeFrom="paragraph">
              <wp:posOffset>186690</wp:posOffset>
            </wp:positionV>
            <wp:extent cx="1901825" cy="1292225"/>
            <wp:effectExtent l="69850" t="15875" r="28575" b="82550"/>
            <wp:wrapTight wrapText="bothSides">
              <wp:wrapPolygon>
                <wp:start x="-793" y="-265"/>
                <wp:lineTo x="-793" y="22343"/>
                <wp:lineTo x="21492" y="22343"/>
                <wp:lineTo x="21492" y="-265"/>
                <wp:lineTo x="-793" y="-265"/>
              </wp:wrapPolygon>
            </wp:wrapTight>
            <wp:docPr id="1" name="图片 1" descr="素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素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01825" cy="1292225"/>
                    </a:xfrm>
                    <a:prstGeom prst="rect">
                      <a:avLst/>
                    </a:prstGeom>
                    <a:effectLst>
                      <a:outerShdw blurRad="50800" dist="38100" dir="8100000" algn="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rFonts w:hint="default"/>
          <w:sz w:val="28"/>
          <w:szCs w:val="28"/>
        </w:rPr>
        <w:t>林尽水源，便得一山，山有小口，仿佛若有光。便舍（shě）船，从口入。初极狭，才通人。复行数十步，豁（huò）然开朗。土地平旷，屋舍（shè）俨（yǎn）然，有良田美池桑竹之属。阡（qiān）陌（mò）交通，鸡犬相闻。其中往来种（zhòng）作，男女衣着（zhuó），悉如外人。黄发垂髫（tiáo），并怡然自乐。</w:t>
      </w:r>
    </w:p>
    <w:p w14:paraId="379088A3">
      <w:pPr>
        <w:rPr>
          <w:rFonts w:hint="default"/>
          <w:sz w:val="28"/>
          <w:szCs w:val="28"/>
        </w:rPr>
        <w:sectPr>
          <w:headerReference r:id="rId3" w:type="default"/>
          <w:footerReference r:id="rId4" w:type="default"/>
          <w:pgSz w:w="16838" w:h="11906" w:orient="landscape"/>
          <w:pgMar w:top="1134" w:right="1417" w:bottom="1134" w:left="1417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0" w:num="1"/>
          <w:rtlGutter w:val="0"/>
          <w:docGrid w:type="lines" w:linePitch="312" w:charSpace="0"/>
        </w:sectPr>
      </w:pPr>
    </w:p>
    <w:p w14:paraId="78B90BCB">
      <w:pPr>
        <w:numPr>
          <w:ilvl w:val="0"/>
          <w:numId w:val="1"/>
        </w:numPr>
        <w:ind w:left="420" w:leftChars="0" w:hanging="420" w:firstLineChars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见渔人，乃大惊，问所从来。具答之。便要（yāo）还家，设酒杀鸡作食。村中闻有此人，咸（xián）来问讯。自云先世避秦时乱，率妻子邑（yì）人来此绝境，不复出焉，遂与外人间隔。问今是何世，乃不知有汉，无论魏晋。此人一一为具言所闻，皆叹惋。余人各复延至其家，皆出酒食。停数日，辞去。此中人语（yù）云：“不足为外人道也。”</w:t>
      </w:r>
    </w:p>
    <w:p w14:paraId="45412B9E">
      <w:pPr>
        <w:rPr>
          <w:rFonts w:hint="default"/>
          <w:sz w:val="28"/>
          <w:szCs w:val="28"/>
        </w:rPr>
        <w:sectPr>
          <w:footerReference r:id="rId5" w:type="default"/>
          <w:type w:val="continuous"/>
          <w:pgSz w:w="16838" w:h="11906" w:orient="landscape"/>
          <w:pgMar w:top="1134" w:right="1417" w:bottom="1134" w:left="1417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equalWidth="0" w:num="2" w:sep="1">
            <w:col w:w="4383" w:space="427"/>
            <w:col w:w="9194"/>
          </w:cols>
          <w:rtlGutter w:val="0"/>
          <w:docGrid w:type="lines" w:linePitch="312" w:charSpace="0"/>
        </w:sectPr>
      </w:pPr>
    </w:p>
    <w:p w14:paraId="676FBD31">
      <w:pPr>
        <w:keepNext/>
        <w:framePr w:dropCap="drop" w:lines="2" w:wrap="around" w:vAnchor="text" w:hAnchor="text"/>
        <w:widowControl w:val="0"/>
        <w:spacing w:after="0" w:afterLines="0" w:line="1243" w:lineRule="exact"/>
        <w:jc w:val="both"/>
        <w:textAlignment w:val="baseline"/>
        <w:rPr>
          <w:rFonts w:hint="eastAsia" w:ascii="微软雅黑 Light" w:hAnsi="微软雅黑 Light" w:eastAsia="微软雅黑 Light" w:cs="微软雅黑 Light"/>
          <w:position w:val="-1"/>
          <w:sz w:val="119"/>
          <w:szCs w:val="119"/>
        </w:rPr>
      </w:pPr>
      <w:r>
        <w:rPr>
          <w:rFonts w:hint="eastAsia" w:ascii="微软雅黑 Light" w:hAnsi="微软雅黑 Light" w:eastAsia="微软雅黑 Light" w:cs="微软雅黑 Light"/>
          <w:position w:val="-1"/>
          <w:sz w:val="119"/>
          <w:szCs w:val="119"/>
        </w:rPr>
        <w:t>既</w:t>
      </w:r>
    </w:p>
    <w:p w14:paraId="21B31C85">
      <w:pPr>
        <w:pageBreakBefore w:val="0"/>
        <w:ind w:firstLine="0" w:firstLineChars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出，得其船，便扶向路，处处志之。及郡下，诣（yì）太守，说如此。太守即遣人随其往，寻向所志，遂迷，不复得路。</w:t>
      </w:r>
    </w:p>
    <w:p w14:paraId="0B44A4BC">
      <w:pPr>
        <w:widowControl w:val="0"/>
        <w:pBdr>
          <w:top w:val="single" w:color="C00000" w:sz="8" w:space="1"/>
          <w:left w:val="single" w:color="C00000" w:sz="8" w:space="4"/>
          <w:bottom w:val="single" w:color="C00000" w:sz="8" w:space="1"/>
          <w:right w:val="single" w:color="C00000" w:sz="8" w:space="4"/>
          <w:between w:val="none" w:color="auto" w:sz="0" w:space="0"/>
        </w:pBdr>
        <w:jc w:val="center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南阳刘子骥（jì），高尚士也，闻之，欣然规往。未果，寻病终。后遂无问津者。</w:t>
      </w:r>
    </w:p>
    <w:sectPr>
      <w:type w:val="continuous"/>
      <w:pgSz w:w="16838" w:h="11906" w:orient="landscape"/>
      <w:pgMar w:top="1134" w:right="1417" w:bottom="1134" w:left="1417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4EAF76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CCC0B47">
                          <w:pPr>
                            <w:pStyle w:val="3"/>
                            <w:rPr>
                              <w:color w:val="auto"/>
                            </w:rPr>
                          </w:pPr>
                          <w:r>
                            <w:rPr>
                              <w:color w:val="auto"/>
                            </w:rPr>
                            <w:t xml:space="preserve">第 </w:t>
                          </w:r>
                          <w:r>
                            <w:rPr>
                              <w:color w:val="auto"/>
                            </w:rPr>
                            <w:fldChar w:fldCharType="begin"/>
                          </w:r>
                          <w:r>
                            <w:rPr>
                              <w:color w:val="auto"/>
                            </w:rPr>
                            <w:instrText xml:space="preserve"> PAGE  \* MERGEFORMAT </w:instrText>
                          </w:r>
                          <w:r>
                            <w:rPr>
                              <w:color w:val="auto"/>
                            </w:rPr>
                            <w:fldChar w:fldCharType="separate"/>
                          </w:r>
                          <w:r>
                            <w:rPr>
                              <w:color w:val="auto"/>
                            </w:rPr>
                            <w:t>1</w:t>
                          </w:r>
                          <w:r>
                            <w:rPr>
                              <w:color w:val="auto"/>
                            </w:rPr>
                            <w:fldChar w:fldCharType="end"/>
                          </w:r>
                          <w:r>
                            <w:rPr>
                              <w:color w:val="auto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left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CCC0B47">
                    <w:pPr>
                      <w:pStyle w:val="3"/>
                      <w:rPr>
                        <w:color w:val="auto"/>
                      </w:rPr>
                    </w:pPr>
                    <w:r>
                      <w:rPr>
                        <w:color w:val="auto"/>
                      </w:rPr>
                      <w:t xml:space="preserve">第 </w:t>
                    </w:r>
                    <w:r>
                      <w:rPr>
                        <w:color w:val="auto"/>
                      </w:rPr>
                      <w:fldChar w:fldCharType="begin"/>
                    </w:r>
                    <w:r>
                      <w:rPr>
                        <w:color w:val="auto"/>
                      </w:rPr>
                      <w:instrText xml:space="preserve"> PAGE  \* MERGEFORMAT </w:instrText>
                    </w:r>
                    <w:r>
                      <w:rPr>
                        <w:color w:val="auto"/>
                      </w:rPr>
                      <w:fldChar w:fldCharType="separate"/>
                    </w:r>
                    <w:r>
                      <w:rPr>
                        <w:color w:val="auto"/>
                      </w:rPr>
                      <w:t>1</w:t>
                    </w:r>
                    <w:r>
                      <w:rPr>
                        <w:color w:val="auto"/>
                      </w:rPr>
                      <w:fldChar w:fldCharType="end"/>
                    </w:r>
                    <w:r>
                      <w:rPr>
                        <w:color w:val="auto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88B709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12BEB5">
    <w:pPr>
      <w:pStyle w:val="4"/>
      <w:jc w:val="center"/>
      <w:rPr>
        <w:b/>
        <w:bCs/>
        <w:color w:val="000000" w:themeColor="text1"/>
        <w:sz w:val="22"/>
        <w:szCs w:val="36"/>
        <w14:textFill>
          <w14:solidFill>
            <w14:schemeClr w14:val="tx1"/>
          </w14:solidFill>
        </w14:textFill>
      </w:rPr>
    </w:pPr>
    <w:r>
      <w:rPr>
        <w:b/>
        <w:bCs/>
        <w:color w:val="000000" w:themeColor="text1"/>
        <w:sz w:val="22"/>
        <w14:textFill>
          <w14:solidFill>
            <w14:schemeClr w14:val="tx1"/>
          </w14:solidFill>
        </w14:textFill>
      </w:rPr>
      <w:pict>
        <v:shape id="PowerPlusWaterMarkObject29344" o:spid="_x0000_s2051" o:spt="136" type="#_x0000_t136" style="position:absolute;left:0pt;height:60.35pt;width:264.9pt;mso-position-horizontal:center;mso-position-horizontal-relative:margin;mso-position-vertical:center;mso-position-vertical-relative:margin;rotation:-2949120f;z-index:-251655168;mso-width-relative:page;mso-height-relative:page;" fillcolor="#843F0B" filled="t" stroked="f" coordsize="21600,21600" adj="10800">
          <v:path/>
          <v:fill on="t" opacity="13107f" focussize="0,0"/>
          <v:stroke on="f"/>
          <v:imagedata o:title=""/>
          <o:lock v:ext="edit" aspectratio="t"/>
          <v:textpath on="t" fitshape="t" fitpath="t" trim="t" xscale="f" string="必背文言文" style="font-family:仿宋;font-size:60pt;v-same-letter-heights:f;v-text-align:center;"/>
        </v:shape>
      </w:pict>
    </w:r>
    <w:r>
      <w:rPr>
        <w:rFonts w:hint="eastAsia"/>
        <w:b/>
        <w:bCs/>
        <w:color w:val="000000" w:themeColor="text1"/>
        <w:sz w:val="22"/>
        <w:szCs w:val="36"/>
        <w:lang w:val="en-US" w:eastAsia="zh-CN"/>
        <w14:textFill>
          <w14:solidFill>
            <w14:schemeClr w14:val="tx1"/>
          </w14:solidFill>
        </w14:textFill>
      </w:rPr>
      <w:t>陶渊明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D4D256"/>
    <w:multiLevelType w:val="singleLevel"/>
    <w:tmpl w:val="9BD4D25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isplayBackgroundShape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hjNzFjMjliYTMwZmQyYjMzM2NlZTBmYTgwNzU5YTQifQ=="/>
  </w:docVars>
  <w:rsids>
    <w:rsidRoot w:val="00000000"/>
    <w:rsid w:val="244D734E"/>
    <w:rsid w:val="2F1A0976"/>
    <w:rsid w:val="39A20979"/>
    <w:rsid w:val="58B46FA9"/>
    <w:rsid w:val="628C11D2"/>
    <w:rsid w:val="63BB540B"/>
    <w:rsid w:val="6745720B"/>
    <w:rsid w:val="77063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link w:val="8"/>
    <w:qFormat/>
    <w:uiPriority w:val="0"/>
    <w:pPr>
      <w:keepNext/>
      <w:pBdr>
        <w:bottom w:val="single" w:color="0070C0" w:sz="12" w:space="4"/>
      </w:pBdr>
      <w:snapToGrid w:val="0"/>
      <w:spacing w:before="480" w:after="360" w:line="240" w:lineRule="atLeast"/>
      <w:jc w:val="center"/>
      <w:outlineLvl w:val="0"/>
    </w:pPr>
    <w:rPr>
      <w:rFonts w:ascii="微软雅黑" w:hAnsi="微软雅黑" w:eastAsia="微软雅黑" w:cs="宋体"/>
      <w:color w:val="0070C0"/>
      <w:sz w:val="30"/>
      <w:szCs w:val="30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8">
    <w:name w:val="标题 1 Char"/>
    <w:basedOn w:val="7"/>
    <w:link w:val="2"/>
    <w:qFormat/>
    <w:uiPriority w:val="9"/>
    <w:rPr>
      <w:rFonts w:ascii="微软雅黑" w:hAnsi="微软雅黑" w:eastAsia="微软雅黑" w:cs="宋体"/>
      <w:color w:val="0070C0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51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447</Words>
  <Characters>480</Characters>
  <Lines>0</Lines>
  <Paragraphs>0</Paragraphs>
  <TotalTime>22</TotalTime>
  <ScaleCrop>false</ScaleCrop>
  <LinksUpToDate>false</LinksUpToDate>
  <CharactersWithSpaces>480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2025-01-03T06:18:00Z</dcterms:created>
  <dc:creator>25472</dc:creator>
  <cp:lastModifiedBy>大风歌</cp:lastModifiedBy>
  <dcterms:modified xsi:type="dcterms:W3CDTF">2025-03-26T02:24:30Z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872D5498DAF94788A60101CBCCE68C47_12</vt:lpwstr>
  </property>
</Properties>
</file>