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ADBDF" w:themeColor="accent6" w:themeTint="33">
    <v:background id="_x0000_s1025">
      <v:fill type="pattern" on="t" color2="#FFFFFF" o:title="对角砖形" focussize="0,0" r:id="rId5"/>
    </v:background>
  </w:background>
  <w:body>
    <w:p w14:paraId="23919814">
      <w:pPr>
        <w:pStyle w:val="2"/>
        <w:shd w:val="clear" w:fill="D2FAF0"/>
        <w:bidi w:val="0"/>
        <w:jc w:val="center"/>
        <w:rPr>
          <w:rFonts w:hint="eastAsia"/>
          <w:lang w:eastAsia="zh-CN"/>
        </w:rPr>
      </w:pPr>
      <w:r>
        <w:rPr>
          <w:rFonts w:hint="eastAsia"/>
        </w:rPr>
        <w:t>酸梅汤</w:t>
      </w:r>
      <w:r>
        <w:rPr>
          <w:rFonts w:hint="eastAsia"/>
          <w:lang w:eastAsia="zh-CN"/>
        </w:rPr>
        <w:t>与</w:t>
      </w:r>
      <w:r>
        <w:rPr>
          <w:rFonts w:hint="eastAsia"/>
        </w:rPr>
        <w:t>糖葫芦</w:t>
      </w:r>
    </w:p>
    <w:p w14:paraId="20D56ECC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00" w:lineRule="atLeast"/>
        <w:ind w:firstLine="54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夏天喝酸梅汤，冬天吃糖葫芦，在北平是各阶级人人都能享受的事。不过东西也有精粗之别。琉璃厂信远斋的酸梅汤与糖葫芦，特别考究，与其他各处或街头小贩所供应者大有不同。徐凌霄《旧都百话》关于酸梅汤有这样的记载：</w:t>
      </w:r>
    </w:p>
    <w:p w14:paraId="353033B5">
      <w:pPr>
        <w:keepNext/>
        <w:keepLines w:val="0"/>
        <w:pageBreakBefore w:val="0"/>
        <w:framePr w:dropCap="drop" w:lines="2" w:hSpace="100" w:wrap="around" w:vAnchor="text" w:hAnchor="text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0" w:afterLines="0" w:line="1243" w:lineRule="exact"/>
        <w:ind w:firstLine="560" w:firstLineChars="0"/>
        <w:jc w:val="both"/>
        <w:textAlignment w:val="baseline"/>
        <w:rPr>
          <w:rFonts w:hint="eastAsia" w:ascii="微软雅黑" w:hAnsi="微软雅黑" w:eastAsia="微软雅黑" w:cs="微软雅黑"/>
          <w:position w:val="0"/>
          <w:sz w:val="114"/>
          <w:szCs w:val="114"/>
        </w:rPr>
      </w:pPr>
      <w:r>
        <w:rPr>
          <w:rFonts w:hint="eastAsia" w:ascii="微软雅黑" w:hAnsi="微软雅黑" w:eastAsia="微软雅黑" w:cs="微软雅黑"/>
          <w:color w:val="FF0000"/>
          <w:position w:val="0"/>
          <w:sz w:val="114"/>
          <w:szCs w:val="114"/>
        </w:rPr>
        <w:t>暑</w:t>
      </w:r>
    </w:p>
    <w:p w14:paraId="2FDCE6C3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00" w:lineRule="atLeast"/>
        <w:ind w:firstLine="0" w:firstLineChars="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天之冰，以冰梅汤为最流行，大街小巷，干鲜果铺的门口，都可以看见“冰镇梅汤”四字的木檐横额。有的黄底黑字，甚为工致，迎风招展，好似酒家的帘子一样，使过往的热人，望梅止渴，富于吸引力。昔年京朝大老，贵客雅流，有闲工夫，常常要到琉璃厂逛逛书铺，品品古董，考考版本，消磨长昼。天热口干，辄以信远斋梅汤为解渴之需。</w:t>
      </w:r>
    </w:p>
    <w:p w14:paraId="22C2CBBA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00" w:lineRule="atLeast"/>
        <w:ind w:firstLine="54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信远斋铺面很小，只有两间小小门面，临街是旧式玻璃门窗，拂拭得一尘不染，门楣上一块黑漆金字匾额，铺内清洁简单，道地北平式的装修。进门右手方有黑漆大木桶一，里面有一大白瓷罐，罐外周围全是碎冰，罐里是酸梅汤，所以名为冰镇，北平的冰是从十刹海或护城河挖取藏在窖内的，冰块里可以看见草皮木屑，泥沙秽物更不能免，是不能放在饮料里喝的。十刹海会贤堂的名件“冰碗”，莲蓬桃仁杏仁菱角藕都放在冰块上，食客不嫌其脏，真是不可思议。有人甚至把冰块放在酸梅汤里！信远斋的冰镇就高明多了。因为桶大罐小冰多，喝起来凉沁脾胃。他的酸梅汤的成功秘诀，</w:t>
      </w:r>
      <w:r>
        <w:rPr>
          <w:rFonts w:hint="eastAsia" w:eastAsia="宋体"/>
          <w:sz w:val="28"/>
          <w:szCs w:val="36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6659880</wp:posOffset>
            </wp:positionH>
            <wp:positionV relativeFrom="page">
              <wp:posOffset>1170305</wp:posOffset>
            </wp:positionV>
            <wp:extent cx="3239770" cy="5039995"/>
            <wp:effectExtent l="63500" t="63500" r="64770" b="78105"/>
            <wp:wrapSquare wrapText="bothSides"/>
            <wp:docPr id="1" name="图片 1" descr="素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5039995"/>
                    </a:xfrm>
                    <a:prstGeom prst="rect">
                      <a:avLst/>
                    </a:prstGeom>
                    <a:ln w="63500">
                      <a:solidFill>
                        <a:srgbClr val="FF0000"/>
                      </a:solidFill>
                    </a:ln>
                    <a:effectLst>
                      <a:softEdge rad="63500"/>
                    </a:effectLst>
                    <a:scene3d>
                      <a:camera prst="perspective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36"/>
        </w:rPr>
        <w:t>是冰糖多、梅汁稠、水少，所以味浓而酽。上口冰凉，甜酸适度，含在嘴里如品纯醪，舍不得下咽。很少人能站在那里喝那一小碗而不再喝一碗的。抗战胜利还乡，我带孩子们到信远斋，我准许他们能喝多少碗都可以。他们连尽七碗方始罢休。我每次去喝，不是为解渴，是为解馋。我不知道为什么没有人动脑筋把信远斋的酸梅汤制为罐头行销各地，而一任“可口可乐”到处猖狂。</w:t>
      </w:r>
    </w:p>
    <w:p w14:paraId="6DB50EEF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00" w:lineRule="atLeast"/>
        <w:ind w:firstLine="54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信远斋也卖酸梅卤、酸梅糕。卤冲水可以制酸梅汤，但是无论如何不能像站在那木桶旁边细啜那样有味。我自己在家也曾试做，在药铺买了乌梅，在干果铺买了大块冰糖，不惜工本，仍难如愿。信远斋掌柜姓萧，一团和气，我曾问他何以仿制不成，他回答得很妙：“请您过来喝，别自己费事了。”</w:t>
      </w:r>
    </w:p>
    <w:p w14:paraId="6E38686B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00" w:lineRule="atLeast"/>
        <w:ind w:firstLine="54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信远斋也卖蜜饯、冰粮子儿、糖葫芦。以糖葫芦为最出色。北平糖葫芦分三种。一种用麦芽糖，北平话是糖稀，可以做大串山里红的糖葫芦，可以长达五尺多，这种大糖葫芦，新年厂甸卖的最多。麦芽糖裹水杏儿（没长大的绿杏），很好吃，做糖葫芦就不见佳，尤其是山里红常是烂的或是带虫子屎。另一种用白糖和了粘上去，冷了之后白汪汪的一层霜，另有风味。正宗是冰糖葫芦，薄薄一层糖，透明雪亮。材料种类甚多，诸如海棠、山药、山药豆、杏干、葡萄、桔子、荸荠、核桃，但是以山里红为正宗。山里红，即山楂，北地盛产，味酸，裹糖则极可口。一般的糖葫芦皆用半尺来长的竹签，街头小贩所售，多染尘沙，而且品质粗劣。东安市场所售较为高级。但仍以信远斋所制为最精，不用竹签，每一颗山里红或海棠均单个独立，所用之果皆硕大无疵，而且干净，放在垫了油纸的纸盒中由客携去。</w:t>
      </w:r>
    </w:p>
    <w:p w14:paraId="0E6774F7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00" w:lineRule="atLeast"/>
        <w:ind w:firstLine="54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离开北平就没吃过糖葫芦，实在想念。近有客自北平来，说起糖葫芦，据称在北平这种不属于任何一个阶级的食物几已绝迹。他说我们在台湾自己家里也未尝不可试做，台湾虽无山里红，其他水果种类不少，沾了冰糖汁，放在一块涂了油的玻璃板上，送入冰箱冷冻，岂不即可等自大嚼？他说他制成之后将邀我共尝，但是迄今尚无下文，不知结果如何。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7087"/>
      </w:tblGrid>
      <w:tr w14:paraId="16570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500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EE822F"/>
            <w:vAlign w:val="center"/>
          </w:tcPr>
          <w:p w14:paraId="1FFDB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 w:val="0"/>
              <w:bidi w:val="0"/>
              <w:adjustRightInd/>
              <w:snapToGrid/>
              <w:spacing w:after="157" w:afterLines="50" w:line="300" w:lineRule="atLeast"/>
              <w:jc w:val="center"/>
              <w:textAlignment w:val="auto"/>
              <w:rPr>
                <w:rFonts w:hint="default"/>
                <w:b/>
                <w:color w:val="FFFFFF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8"/>
                <w:szCs w:val="36"/>
                <w:vertAlign w:val="baseline"/>
                <w:lang w:val="en-US" w:eastAsia="zh-CN"/>
              </w:rPr>
              <w:t>现代散文作家</w:t>
            </w:r>
          </w:p>
        </w:tc>
        <w:tc>
          <w:tcPr>
            <w:tcW w:w="2500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822F"/>
            <w:vAlign w:val="center"/>
          </w:tcPr>
          <w:p w14:paraId="1FD35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 w:val="0"/>
              <w:bidi w:val="0"/>
              <w:adjustRightInd/>
              <w:snapToGrid/>
              <w:spacing w:after="157" w:afterLines="50" w:line="300" w:lineRule="atLeast"/>
              <w:jc w:val="center"/>
              <w:textAlignment w:val="auto"/>
              <w:rPr>
                <w:rFonts w:hint="default"/>
                <w:b/>
                <w:color w:val="FFFFFF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8"/>
                <w:szCs w:val="36"/>
                <w:vertAlign w:val="baseline"/>
                <w:lang w:val="en-US" w:eastAsia="zh-CN"/>
              </w:rPr>
              <w:t>代表作品</w:t>
            </w:r>
          </w:p>
        </w:tc>
      </w:tr>
      <w:tr w14:paraId="61B9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500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6D5"/>
            <w:vAlign w:val="center"/>
          </w:tcPr>
          <w:p w14:paraId="70A90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 w:val="0"/>
              <w:bidi w:val="0"/>
              <w:adjustRightInd/>
              <w:snapToGrid/>
              <w:spacing w:after="157" w:afterLines="50" w:line="300" w:lineRule="atLeast"/>
              <w:jc w:val="center"/>
              <w:textAlignment w:val="auto"/>
              <w:rPr>
                <w:rFonts w:hint="eastAsia"/>
                <w:b w:val="0"/>
                <w:color w:val="000000"/>
                <w:sz w:val="28"/>
                <w:szCs w:val="36"/>
                <w:vertAlign w:val="baseline"/>
                <w:lang w:eastAsia="zh-CN"/>
              </w:rPr>
            </w:pPr>
          </w:p>
        </w:tc>
        <w:tc>
          <w:tcPr>
            <w:tcW w:w="2500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6D5"/>
            <w:vAlign w:val="center"/>
          </w:tcPr>
          <w:p w14:paraId="7BE13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 w:val="0"/>
              <w:bidi w:val="0"/>
              <w:adjustRightInd/>
              <w:snapToGrid/>
              <w:spacing w:after="157" w:afterLines="50" w:line="300" w:lineRule="atLeast"/>
              <w:jc w:val="center"/>
              <w:textAlignment w:val="auto"/>
              <w:rPr>
                <w:rFonts w:hint="eastAsia"/>
                <w:b w:val="0"/>
                <w:color w:val="000000"/>
                <w:sz w:val="28"/>
                <w:szCs w:val="36"/>
                <w:vertAlign w:val="baseline"/>
                <w:lang w:eastAsia="zh-CN"/>
              </w:rPr>
            </w:pPr>
          </w:p>
        </w:tc>
      </w:tr>
      <w:tr w14:paraId="20C25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500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6D5"/>
            <w:vAlign w:val="center"/>
          </w:tcPr>
          <w:p w14:paraId="4C777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 w:val="0"/>
              <w:bidi w:val="0"/>
              <w:adjustRightInd/>
              <w:snapToGrid/>
              <w:spacing w:after="157" w:afterLines="50" w:line="300" w:lineRule="atLeast"/>
              <w:jc w:val="center"/>
              <w:textAlignment w:val="auto"/>
              <w:rPr>
                <w:rFonts w:hint="eastAsia"/>
                <w:b w:val="0"/>
                <w:color w:val="000000"/>
                <w:sz w:val="28"/>
                <w:szCs w:val="36"/>
                <w:vertAlign w:val="baseline"/>
                <w:lang w:eastAsia="zh-CN"/>
              </w:rPr>
            </w:pPr>
          </w:p>
        </w:tc>
        <w:tc>
          <w:tcPr>
            <w:tcW w:w="2500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6D5"/>
            <w:vAlign w:val="center"/>
          </w:tcPr>
          <w:p w14:paraId="3188E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 w:val="0"/>
              <w:bidi w:val="0"/>
              <w:adjustRightInd/>
              <w:snapToGrid/>
              <w:spacing w:after="157" w:afterLines="50" w:line="300" w:lineRule="atLeast"/>
              <w:jc w:val="center"/>
              <w:textAlignment w:val="auto"/>
              <w:rPr>
                <w:rFonts w:hint="eastAsia"/>
                <w:b w:val="0"/>
                <w:color w:val="000000"/>
                <w:sz w:val="28"/>
                <w:szCs w:val="36"/>
                <w:vertAlign w:val="baseline"/>
                <w:lang w:eastAsia="zh-CN"/>
              </w:rPr>
            </w:pPr>
          </w:p>
        </w:tc>
      </w:tr>
    </w:tbl>
    <w:p w14:paraId="684ED4C2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00" w:lineRule="atLeast"/>
        <w:ind w:firstLine="540" w:firstLineChars="200"/>
        <w:textAlignment w:val="auto"/>
        <w:rPr>
          <w:rFonts w:hint="eastAsia"/>
          <w:sz w:val="28"/>
          <w:szCs w:val="36"/>
          <w:lang w:eastAsia="zh-CN"/>
        </w:rPr>
      </w:pPr>
      <w:bookmarkStart w:id="0" w:name="_GoBack"/>
      <w:bookmarkEnd w:id="0"/>
    </w:p>
    <w:sectPr>
      <w:headerReference r:id="rId3" w:type="default"/>
      <w:pgSz w:w="16838" w:h="11906" w:orient="landscape"/>
      <w:pgMar w:top="1803" w:right="1440" w:bottom="1803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AndChars" w:linePitch="296" w:charSpace="-21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AD2AA">
    <w:pPr>
      <w:pStyle w:val="4"/>
      <w:jc w:val="right"/>
    </w:pPr>
    <w:r>
      <w:rPr>
        <w:rFonts w:hint="eastAsia"/>
        <w:color w:val="FF0000"/>
      </w:rPr>
      <w:t>梁实秋雅舍系列节选</w:t>
    </w:r>
    <w:r>
      <w:rPr>
        <w:sz w:val="18"/>
      </w:rPr>
      <w:pict>
        <v:shape id="PowerPlusWaterMarkObject74038" o:spid="_x0000_s2050" o:spt="136" type="#_x0000_t136" style="position:absolute;left:0pt;height:44.25pt;width:155.4pt;mso-position-horizontal:left;mso-position-horizontal-relative:margin;mso-position-vertical:bottom;mso-position-vertical-relative:margin;z-index:-251657216;mso-width-relative:page;mso-height-relative:page;" fillcolor="#00B0F0" filled="t" stroked="f" coordsize="21600,21600" adj="10800">
          <v:path/>
          <v:fill on="t" opacity="36044f" focussize="0,0"/>
          <v:stroke on="f"/>
          <v:imagedata o:title=""/>
          <o:lock v:ext="edit" aspectratio="t"/>
          <v:textpath on="t" fitshape="t" fitpath="t" trim="t" xscale="f" string="雅舍谈吃" style="font-family:黑体;font-size:44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cumentProtection w:enforcement="0"/>
  <w:defaultTabStop w:val="420"/>
  <w:drawingGridHorizontalSpacing w:val="100"/>
  <w:drawingGridVerticalSpacing w:val="148"/>
  <w:displayHorizontalDrawingGridEvery w:val="2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5C20402"/>
    <w:rsid w:val="073A6E8C"/>
    <w:rsid w:val="075E75DE"/>
    <w:rsid w:val="07D7239C"/>
    <w:rsid w:val="0DA23DAD"/>
    <w:rsid w:val="1222745A"/>
    <w:rsid w:val="12C549B5"/>
    <w:rsid w:val="143E1BC3"/>
    <w:rsid w:val="184E71FB"/>
    <w:rsid w:val="18AA66BE"/>
    <w:rsid w:val="271F04D0"/>
    <w:rsid w:val="2D2D342B"/>
    <w:rsid w:val="2E3E6667"/>
    <w:rsid w:val="41E06866"/>
    <w:rsid w:val="458D0AB3"/>
    <w:rsid w:val="4BF6477A"/>
    <w:rsid w:val="52A01E26"/>
    <w:rsid w:val="53DF71D9"/>
    <w:rsid w:val="54B716A8"/>
    <w:rsid w:val="58555460"/>
    <w:rsid w:val="607578DE"/>
    <w:rsid w:val="61440E5B"/>
    <w:rsid w:val="61BD3385"/>
    <w:rsid w:val="61CD250D"/>
    <w:rsid w:val="6A443BCB"/>
    <w:rsid w:val="733D2F6D"/>
    <w:rsid w:val="7B9E54BE"/>
    <w:rsid w:val="7C417926"/>
    <w:rsid w:val="7DFE5627"/>
    <w:rsid w:val="7FDF36DE"/>
    <w:rsid w:val="7FEE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wave" w:color="FF0000" w:sz="6" w:space="1"/>
        <w:left w:val="wave" w:color="FF0000" w:sz="6" w:space="4"/>
        <w:bottom w:val="wave" w:color="FF0000" w:sz="6" w:space="1"/>
        <w:right w:val="wave" w:color="FF0000" w:sz="6" w:space="4"/>
      </w:pBdr>
      <w:shd w:val="clear" w:fill="E6FAD2"/>
      <w:spacing w:before="100" w:beforeLines="0" w:beforeAutospacing="0" w:after="400" w:afterLines="0" w:afterAutospacing="0" w:line="576" w:lineRule="auto"/>
      <w:jc w:val="center"/>
      <w:outlineLvl w:val="0"/>
    </w:pPr>
    <w:rPr>
      <w:rFonts w:eastAsia="黑体"/>
      <w:b/>
      <w:i/>
      <w:kern w:val="44"/>
      <w:sz w:val="5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bmp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1356</Words>
  <Characters>1356</Characters>
  <Lines>0</Lines>
  <Paragraphs>0</Paragraphs>
  <TotalTime>17</TotalTime>
  <ScaleCrop>false</ScaleCrop>
  <LinksUpToDate>false</LinksUpToDate>
  <CharactersWithSpaces>1356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2025-12-30T03:58:01Z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133C6F2BB71948D5A9A78937D6D81665_12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