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BAD59" w14:textId="77777777" w:rsidR="00AB22B7" w:rsidRDefault="00AB22B7" w:rsidP="00572AC0">
      <w:pPr>
        <w:pStyle w:val="Title"/>
      </w:pPr>
      <w:r>
        <w:t>Read Me</w:t>
      </w:r>
    </w:p>
    <w:p w14:paraId="0C6600C8" w14:textId="77777777" w:rsidR="00D162DC" w:rsidRDefault="00D162DC" w:rsidP="00D162DC"/>
    <w:p w14:paraId="4038BD24" w14:textId="77777777" w:rsidR="001A1136" w:rsidRPr="001A1136" w:rsidRDefault="00D162DC" w:rsidP="001A1136">
      <w:r>
        <w:t xml:space="preserve">Customers want to minimize the disruption in operations caused by regional failures (transient or permanent) in Azure. The Geo-disaster recovery (Geo-DR) feature shown here aims to provide richer customer controlled failover capabilities for all Event Hubs customers. For an overview on this feature, refer to the article – </w:t>
      </w:r>
      <w:commentRangeStart w:id="0"/>
      <w:r>
        <w:t>Enabling Geo-Disaster Recovery for Event Hubs</w:t>
      </w:r>
      <w:commentRangeEnd w:id="0"/>
      <w:r w:rsidR="00125B59">
        <w:rPr>
          <w:rStyle w:val="CommentReference"/>
        </w:rPr>
        <w:commentReference w:id="0"/>
      </w:r>
      <w:r>
        <w:t>.</w:t>
      </w:r>
    </w:p>
    <w:p w14:paraId="5BBCE8AA" w14:textId="77777777" w:rsidR="005F629B" w:rsidRDefault="00AB22B7">
      <w:r>
        <w:t xml:space="preserve">This sample shows how to </w:t>
      </w:r>
    </w:p>
    <w:p w14:paraId="7936B2BF" w14:textId="77777777" w:rsidR="005F629B" w:rsidRDefault="005F629B" w:rsidP="005F629B">
      <w:pPr>
        <w:pStyle w:val="ListParagraph"/>
        <w:numPr>
          <w:ilvl w:val="0"/>
          <w:numId w:val="6"/>
        </w:numPr>
      </w:pPr>
      <w:r>
        <w:t>A</w:t>
      </w:r>
      <w:r w:rsidR="00AB22B7">
        <w:t>chieve Geo-</w:t>
      </w:r>
      <w:r w:rsidR="00D162DC">
        <w:t xml:space="preserve">DR </w:t>
      </w:r>
      <w:r w:rsidR="00AB22B7">
        <w:t>for an Event Hubs namespace.</w:t>
      </w:r>
      <w:r w:rsidR="003E435C">
        <w:t xml:space="preserve"> </w:t>
      </w:r>
    </w:p>
    <w:p w14:paraId="4274464B" w14:textId="77777777" w:rsidR="00FB2E5D" w:rsidRDefault="005F629B" w:rsidP="00C44902">
      <w:pPr>
        <w:pStyle w:val="ListParagraph"/>
        <w:numPr>
          <w:ilvl w:val="0"/>
          <w:numId w:val="6"/>
        </w:numPr>
      </w:pPr>
      <w:r>
        <w:t>C</w:t>
      </w:r>
      <w:r w:rsidR="00FB2E5D">
        <w:t xml:space="preserve">reate a namespace with live metadata replication between two </w:t>
      </w:r>
      <w:r>
        <w:t xml:space="preserve">customer chosen </w:t>
      </w:r>
      <w:r w:rsidR="00FB2E5D">
        <w:t>regions</w:t>
      </w:r>
    </w:p>
    <w:p w14:paraId="01B97D4C" w14:textId="77777777" w:rsidR="00C44902" w:rsidRDefault="00C44902" w:rsidP="006D6BCB">
      <w:pPr>
        <w:pStyle w:val="ListParagraph"/>
        <w:ind w:left="360"/>
      </w:pPr>
    </w:p>
    <w:p w14:paraId="44087C1D" w14:textId="77777777" w:rsidR="001A1136" w:rsidRDefault="001A1136" w:rsidP="001A1136">
      <w:pPr>
        <w:pStyle w:val="Heading2"/>
      </w:pPr>
      <w:r>
        <w:t>Getting Started</w:t>
      </w:r>
    </w:p>
    <w:p w14:paraId="148E4486" w14:textId="77777777" w:rsidR="00572AC0" w:rsidRDefault="00572AC0" w:rsidP="00572AC0">
      <w:r w:rsidRPr="00F24D71">
        <w:rPr>
          <w:rStyle w:val="SubtitleChar"/>
        </w:rPr>
        <w:t>Prerequisites</w:t>
      </w:r>
      <w:r>
        <w:t xml:space="preserve"> </w:t>
      </w:r>
    </w:p>
    <w:p w14:paraId="30E786F2" w14:textId="77777777" w:rsidR="00572AC0" w:rsidRDefault="00F24D71" w:rsidP="00572AC0">
      <w:r>
        <w:t xml:space="preserve">In order to get started using the sample </w:t>
      </w:r>
      <w:r w:rsidR="00A06C24">
        <w:t>(as it uses the Event Hubs management libraries)</w:t>
      </w:r>
      <w:r>
        <w:t>, you must authenticate with Azure Active Directory (AAD). This requires you to authenticate as a Service Principal, which provides access to your Azure resources. For information on creating a Service Principal, re</w:t>
      </w:r>
      <w:r w:rsidR="00A06C24">
        <w:t>fer to the following article:</w:t>
      </w:r>
    </w:p>
    <w:p w14:paraId="3D30C995" w14:textId="77777777" w:rsidR="00A06C24" w:rsidRPr="00A06C24" w:rsidRDefault="00EA7A77" w:rsidP="00A0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9" w:history="1">
        <w:r w:rsidR="00A06C24" w:rsidRPr="00A06C24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Use the Azure Portal to create Active Directory application and service principal that can access resources</w:t>
        </w:r>
      </w:hyperlink>
    </w:p>
    <w:p w14:paraId="13B2208A" w14:textId="77777777" w:rsidR="00A06C24" w:rsidRPr="00A06C24" w:rsidRDefault="00EA7A77" w:rsidP="00A0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0" w:history="1">
        <w:r w:rsidR="00A06C24" w:rsidRPr="00A06C24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Use Azure PowerShell to create a service principal to access resources</w:t>
        </w:r>
      </w:hyperlink>
    </w:p>
    <w:p w14:paraId="33970595" w14:textId="77777777" w:rsidR="00A06C24" w:rsidRDefault="00EA7A77" w:rsidP="00A0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hyperlink r:id="rId11" w:history="1">
        <w:r w:rsidR="00A06C24" w:rsidRPr="00A06C24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Use Azure CLI to create a service principal to access resources</w:t>
        </w:r>
      </w:hyperlink>
    </w:p>
    <w:p w14:paraId="43BDE87D" w14:textId="77777777" w:rsidR="00A06C24" w:rsidRDefault="00A06C24" w:rsidP="00A06C24">
      <w:pPr>
        <w:spacing w:before="100" w:beforeAutospacing="1" w:after="100" w:afterAutospacing="1" w:line="240" w:lineRule="auto"/>
      </w:pPr>
      <w:r w:rsidRPr="00A06C24">
        <w:t>The above</w:t>
      </w:r>
      <w:r>
        <w:t xml:space="preserve"> articles helps you to obtain</w:t>
      </w:r>
      <w:r w:rsidR="00B05DAE">
        <w:t xml:space="preserve"> an AppId (ClientId), TenantId, and ClientSecret (Authentication Key), all of which are required to authenticate the management libraries. You must have ‘Owner’ permissions under </w:t>
      </w:r>
      <w:r w:rsidR="00B05DAE">
        <w:rPr>
          <w:i/>
        </w:rPr>
        <w:t xml:space="preserve">Role </w:t>
      </w:r>
      <w:r w:rsidR="00B05DAE">
        <w:t>for the resource group that you wish to run the sample on. Finally, when creating your Active Directory application, if you do not have a sign-on U</w:t>
      </w:r>
      <w:r w:rsidR="005F629B">
        <w:t>R</w:t>
      </w:r>
      <w:r w:rsidR="00B05DAE">
        <w:t xml:space="preserve">L to </w:t>
      </w:r>
      <w:r w:rsidR="005F629B">
        <w:t>input in the create step, simply</w:t>
      </w:r>
      <w:r w:rsidR="00B05DAE">
        <w:t xml:space="preserve"> input any URL format string e.g. </w:t>
      </w:r>
      <w:hyperlink r:id="rId12" w:history="1">
        <w:r w:rsidR="006D2981" w:rsidRPr="00C75781">
          <w:rPr>
            <w:rStyle w:val="Hyperlink"/>
          </w:rPr>
          <w:t>https://contoso.org/exampleapp</w:t>
        </w:r>
      </w:hyperlink>
    </w:p>
    <w:p w14:paraId="678CE890" w14:textId="77777777" w:rsidR="002051CD" w:rsidRPr="002051CD" w:rsidRDefault="002051CD" w:rsidP="002051CD">
      <w:pPr>
        <w:spacing w:after="0" w:line="240" w:lineRule="auto"/>
        <w:outlineLvl w:val="2"/>
        <w:rPr>
          <w:rStyle w:val="SubtitleChar"/>
        </w:rPr>
      </w:pPr>
      <w:r w:rsidRPr="002051CD">
        <w:rPr>
          <w:rStyle w:val="SubtitleChar"/>
        </w:rPr>
        <w:t>Required NuGet packages</w:t>
      </w:r>
    </w:p>
    <w:p w14:paraId="23C2BE65" w14:textId="77777777" w:rsidR="00455259" w:rsidRPr="00455259" w:rsidRDefault="00455259" w:rsidP="00455259">
      <w:pPr>
        <w:pStyle w:val="ListParagraph"/>
        <w:numPr>
          <w:ilvl w:val="0"/>
          <w:numId w:val="7"/>
        </w:numPr>
        <w:spacing w:after="150" w:line="240" w:lineRule="auto"/>
      </w:pPr>
      <w:r w:rsidRPr="002051CD">
        <w:t>Microsoft.Azure.Management.EventHub</w:t>
      </w:r>
    </w:p>
    <w:p w14:paraId="010EF99E" w14:textId="77777777" w:rsidR="00455259" w:rsidRPr="00C44902" w:rsidRDefault="002051CD" w:rsidP="002051CD">
      <w:pPr>
        <w:pStyle w:val="ListParagraph"/>
        <w:numPr>
          <w:ilvl w:val="0"/>
          <w:numId w:val="7"/>
        </w:numPr>
        <w:spacing w:after="150" w:line="240" w:lineRule="auto"/>
        <w:rPr>
          <w:rStyle w:val="SubtitleChar"/>
          <w:rFonts w:eastAsiaTheme="minorHAnsi"/>
          <w:color w:val="auto"/>
          <w:spacing w:val="0"/>
        </w:rPr>
      </w:pPr>
      <w:r w:rsidRPr="00455259">
        <w:t xml:space="preserve">Microsoft.IdentityModel.Clients.ActiveDirectory - used to authenticate with </w:t>
      </w:r>
      <w:r w:rsidR="00455259" w:rsidRPr="00455259">
        <w:t>AAD</w:t>
      </w:r>
    </w:p>
    <w:p w14:paraId="368ADC78" w14:textId="77777777" w:rsidR="002051CD" w:rsidRDefault="002051CD" w:rsidP="002051CD">
      <w:pPr>
        <w:rPr>
          <w:rStyle w:val="SubtitleChar"/>
        </w:rPr>
      </w:pPr>
      <w:r w:rsidRPr="006D2981">
        <w:rPr>
          <w:rStyle w:val="SubtitleChar"/>
        </w:rPr>
        <w:t>Running the sample</w:t>
      </w:r>
    </w:p>
    <w:p w14:paraId="2677080C" w14:textId="060BF4CB" w:rsidR="0095304F" w:rsidRDefault="0095304F" w:rsidP="00455259">
      <w:pPr>
        <w:pStyle w:val="ListParagraph"/>
        <w:numPr>
          <w:ilvl w:val="0"/>
          <w:numId w:val="5"/>
        </w:numPr>
        <w:ind w:left="360"/>
      </w:pPr>
      <w:r>
        <w:t>This requires Visual Studio 2017</w:t>
      </w:r>
      <w:bookmarkStart w:id="1" w:name="_GoBack"/>
      <w:bookmarkEnd w:id="1"/>
    </w:p>
    <w:p w14:paraId="0838B8AC" w14:textId="149EAD9C" w:rsidR="00455259" w:rsidRDefault="002051CD" w:rsidP="00455259">
      <w:pPr>
        <w:pStyle w:val="ListParagraph"/>
        <w:numPr>
          <w:ilvl w:val="0"/>
          <w:numId w:val="5"/>
        </w:numPr>
        <w:ind w:left="360"/>
      </w:pPr>
      <w:r w:rsidRPr="00D440BB">
        <w:t>Provision t</w:t>
      </w:r>
      <w:r>
        <w:t>he required resources using the</w:t>
      </w:r>
      <w:r w:rsidRPr="00D440BB">
        <w:t xml:space="preserve"> template</w:t>
      </w:r>
      <w:r>
        <w:t xml:space="preserve"> – </w:t>
      </w:r>
      <w:commentRangeStart w:id="2"/>
      <w:r>
        <w:t>Deploy Geo-DR resources for a namespace</w:t>
      </w:r>
      <w:commentRangeEnd w:id="2"/>
      <w:r w:rsidR="00125B59">
        <w:rPr>
          <w:rStyle w:val="CommentReference"/>
        </w:rPr>
        <w:commentReference w:id="2"/>
      </w:r>
      <w:r w:rsidR="00455259">
        <w:t>.</w:t>
      </w:r>
    </w:p>
    <w:p w14:paraId="03114B98" w14:textId="77777777" w:rsidR="002051CD" w:rsidRDefault="00455259" w:rsidP="00455259">
      <w:pPr>
        <w:pStyle w:val="ListParagraph"/>
        <w:numPr>
          <w:ilvl w:val="0"/>
          <w:numId w:val="5"/>
        </w:numPr>
        <w:ind w:left="360"/>
      </w:pPr>
      <w:r>
        <w:t>P</w:t>
      </w:r>
      <w:r w:rsidR="002051CD">
        <w:t>opulate GeoDRSampleConfig.json</w:t>
      </w:r>
      <w:r>
        <w:t xml:space="preserve"> accordingly. This file is included in the Visual Studio solution.</w:t>
      </w:r>
    </w:p>
    <w:p w14:paraId="498DC708" w14:textId="77777777" w:rsidR="00455259" w:rsidRDefault="00455259" w:rsidP="00455259">
      <w:pPr>
        <w:pStyle w:val="ListParagraph"/>
        <w:numPr>
          <w:ilvl w:val="0"/>
          <w:numId w:val="5"/>
        </w:numPr>
        <w:ind w:left="360"/>
      </w:pPr>
      <w:r>
        <w:t>Build the solution</w:t>
      </w:r>
    </w:p>
    <w:p w14:paraId="5F195C51" w14:textId="77777777" w:rsidR="002051CD" w:rsidRDefault="002051CD" w:rsidP="00597568">
      <w:pPr>
        <w:pStyle w:val="ListParagraph"/>
        <w:numPr>
          <w:ilvl w:val="0"/>
          <w:numId w:val="5"/>
        </w:numPr>
        <w:ind w:left="360"/>
      </w:pPr>
      <w:r>
        <w:t xml:space="preserve">The </w:t>
      </w:r>
      <w:r w:rsidR="00455259">
        <w:t>exe</w:t>
      </w:r>
      <w:r w:rsidR="00597568">
        <w:t xml:space="preserve"> takes two arguments: &lt;</w:t>
      </w:r>
      <w:r w:rsidR="00C44902">
        <w:t xml:space="preserve">Geo DR </w:t>
      </w:r>
      <w:r w:rsidR="00597568">
        <w:t>action&gt; &lt;</w:t>
      </w:r>
      <w:r w:rsidR="00C44902">
        <w:t>C</w:t>
      </w:r>
      <w:r w:rsidR="00597568">
        <w:t>onfig file</w:t>
      </w:r>
      <w:r w:rsidR="00C44902">
        <w:t xml:space="preserve"> with Azure resource details</w:t>
      </w:r>
      <w:r w:rsidR="00597568">
        <w:t>&gt;</w:t>
      </w:r>
    </w:p>
    <w:p w14:paraId="6AF77B2C" w14:textId="77777777" w:rsidR="00597568" w:rsidRDefault="00C44902" w:rsidP="00597568">
      <w:pPr>
        <w:pStyle w:val="ListParagraph"/>
        <w:ind w:left="360"/>
      </w:pPr>
      <w:r>
        <w:t>The Geo DR actions could be</w:t>
      </w:r>
    </w:p>
    <w:p w14:paraId="333D2878" w14:textId="6E07D3A7" w:rsidR="0015494F" w:rsidRDefault="00CA7611" w:rsidP="00C44902">
      <w:pPr>
        <w:pStyle w:val="ListParagraph"/>
        <w:numPr>
          <w:ilvl w:val="0"/>
          <w:numId w:val="10"/>
        </w:numPr>
      </w:pPr>
      <w:r>
        <w:t>CreatePairing</w:t>
      </w:r>
    </w:p>
    <w:p w14:paraId="4C464335" w14:textId="3D4F7687" w:rsidR="00C44902" w:rsidRDefault="00C44902" w:rsidP="00C44902">
      <w:pPr>
        <w:pStyle w:val="ListParagraph"/>
      </w:pPr>
      <w:r>
        <w:lastRenderedPageBreak/>
        <w:t xml:space="preserve">For creating a paired </w:t>
      </w:r>
      <w:r w:rsidR="00CA7611">
        <w:t>region</w:t>
      </w:r>
      <w:r>
        <w:t>. After this, you should see metadata (i.e. event hubs, consumer groups, throughput units etc. replicated to the secondary namespace).</w:t>
      </w:r>
    </w:p>
    <w:p w14:paraId="01F5A450" w14:textId="32AE965D" w:rsidR="005C590F" w:rsidRDefault="005C590F" w:rsidP="005C590F">
      <w:pPr>
        <w:pStyle w:val="ListParagraph"/>
        <w:numPr>
          <w:ilvl w:val="0"/>
          <w:numId w:val="10"/>
        </w:numPr>
      </w:pPr>
      <w:r>
        <w:t>FailOver</w:t>
      </w:r>
    </w:p>
    <w:p w14:paraId="3E8D2A43" w14:textId="224B6B29" w:rsidR="00C44902" w:rsidRDefault="005C590F" w:rsidP="00C44902">
      <w:pPr>
        <w:pStyle w:val="ListParagraph"/>
      </w:pPr>
      <w:r>
        <w:t>Simulating a failover. After this action, the secondary namespace becomes the primary</w:t>
      </w:r>
    </w:p>
    <w:p w14:paraId="425AC588" w14:textId="77777777" w:rsidR="005C590F" w:rsidRPr="0015494F" w:rsidRDefault="005C590F" w:rsidP="00C44902">
      <w:pPr>
        <w:pStyle w:val="ListParagraph"/>
      </w:pPr>
    </w:p>
    <w:p w14:paraId="489B164B" w14:textId="77777777" w:rsidR="0015494F" w:rsidRDefault="0015494F" w:rsidP="00C44902">
      <w:pPr>
        <w:pStyle w:val="ListParagraph"/>
        <w:numPr>
          <w:ilvl w:val="0"/>
          <w:numId w:val="10"/>
        </w:numPr>
      </w:pPr>
      <w:r w:rsidRPr="00C44902">
        <w:t>BreakPairing</w:t>
      </w:r>
    </w:p>
    <w:p w14:paraId="00B31FCE" w14:textId="77777777" w:rsidR="00C44902" w:rsidRDefault="00C44902" w:rsidP="00C44902">
      <w:pPr>
        <w:pStyle w:val="ListParagraph"/>
      </w:pPr>
      <w:r>
        <w:t>For breaking the pairing between a primary and secondary namespace</w:t>
      </w:r>
    </w:p>
    <w:p w14:paraId="72D7CC2B" w14:textId="77777777" w:rsidR="00C44902" w:rsidRDefault="00C44902" w:rsidP="00C44902">
      <w:pPr>
        <w:pStyle w:val="ListParagraph"/>
      </w:pPr>
    </w:p>
    <w:p w14:paraId="5BC07F83" w14:textId="77777777" w:rsidR="0015494F" w:rsidRDefault="0015494F" w:rsidP="00C44902">
      <w:pPr>
        <w:pStyle w:val="ListParagraph"/>
        <w:numPr>
          <w:ilvl w:val="0"/>
          <w:numId w:val="10"/>
        </w:numPr>
      </w:pPr>
      <w:r w:rsidRPr="00C44902">
        <w:t>DeleteAlias</w:t>
      </w:r>
    </w:p>
    <w:p w14:paraId="02E8AD92" w14:textId="2A25411F" w:rsidR="00C44902" w:rsidRDefault="00DE0DD1" w:rsidP="00C44902">
      <w:pPr>
        <w:pStyle w:val="ListParagraph"/>
      </w:pPr>
      <w:r>
        <w:t>For deleting an</w:t>
      </w:r>
      <w:r w:rsidR="00C44902">
        <w:t xml:space="preserve"> </w:t>
      </w:r>
      <w:r w:rsidR="0006646E">
        <w:t>alias,</w:t>
      </w:r>
      <w:r w:rsidR="00C44902">
        <w:t xml:space="preserve"> that contains information about the primary-secondary pairing</w:t>
      </w:r>
    </w:p>
    <w:p w14:paraId="7240070B" w14:textId="1D5B32F6" w:rsidR="00C51519" w:rsidRDefault="00C51519" w:rsidP="00C44902">
      <w:pPr>
        <w:pStyle w:val="ListParagraph"/>
      </w:pPr>
    </w:p>
    <w:p w14:paraId="4EBED046" w14:textId="1E84B5B8" w:rsidR="00C51519" w:rsidRDefault="00C51519" w:rsidP="00C51519">
      <w:pPr>
        <w:pStyle w:val="ListParagraph"/>
        <w:numPr>
          <w:ilvl w:val="0"/>
          <w:numId w:val="10"/>
        </w:numPr>
      </w:pPr>
      <w:r>
        <w:t>GetConnectionStrings</w:t>
      </w:r>
    </w:p>
    <w:p w14:paraId="643C1986" w14:textId="21674583" w:rsidR="00C51519" w:rsidRDefault="00C51519" w:rsidP="00C51519">
      <w:pPr>
        <w:pStyle w:val="ListParagraph"/>
      </w:pPr>
      <w:r w:rsidRPr="00C51519">
        <w:t>In a Geo DR enabled namespace, the Event Hubs can be accessed only via the alias.</w:t>
      </w:r>
      <w:r>
        <w:t xml:space="preserve"> </w:t>
      </w:r>
      <w:r w:rsidRPr="00C51519">
        <w:t>This is because, the alias can point to either the primary event hub or the failed over event hub</w:t>
      </w:r>
      <w:r>
        <w:t xml:space="preserve">. </w:t>
      </w:r>
      <w:r w:rsidRPr="00C51519">
        <w:t>This way, the user does not have to adjust the connection string</w:t>
      </w:r>
      <w:r>
        <w:t xml:space="preserve">s in his/her apps to point to a </w:t>
      </w:r>
      <w:r w:rsidRPr="00C51519">
        <w:t>different event hub in the case of a failover.</w:t>
      </w:r>
    </w:p>
    <w:p w14:paraId="58D15A63" w14:textId="77777777" w:rsidR="00C51519" w:rsidRDefault="00C51519" w:rsidP="00C44902">
      <w:pPr>
        <w:pStyle w:val="ListParagraph"/>
      </w:pPr>
    </w:p>
    <w:p w14:paraId="33575983" w14:textId="77777777" w:rsidR="00455259" w:rsidRPr="00597568" w:rsidRDefault="00455259" w:rsidP="00597568">
      <w:pPr>
        <w:spacing w:after="0" w:line="240" w:lineRule="auto"/>
        <w:ind w:left="720"/>
        <w:rPr>
          <w:b/>
        </w:rPr>
      </w:pPr>
      <w:r w:rsidRPr="00597568">
        <w:rPr>
          <w:b/>
        </w:rPr>
        <w:t>Examples</w:t>
      </w:r>
    </w:p>
    <w:p w14:paraId="3911B528" w14:textId="44FCA7DC" w:rsidR="00455259" w:rsidRDefault="00455259" w:rsidP="00597568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 w:rsidRPr="00597568">
        <w:rPr>
          <w:rFonts w:ascii="Consolas" w:hAnsi="Consolas"/>
          <w:sz w:val="20"/>
        </w:rPr>
        <w:t>EventHubsGeoDRManagementSample.exe CreatePairing</w:t>
      </w:r>
      <w:r w:rsidR="0018254B">
        <w:rPr>
          <w:rFonts w:ascii="Consolas" w:hAnsi="Consolas"/>
          <w:sz w:val="20"/>
        </w:rPr>
        <w:t xml:space="preserve"> </w:t>
      </w:r>
      <w:r w:rsidRPr="00597568">
        <w:rPr>
          <w:rFonts w:ascii="Consolas" w:hAnsi="Consolas"/>
          <w:sz w:val="20"/>
        </w:rPr>
        <w:t>GeoDRSampleConfig.json</w:t>
      </w:r>
    </w:p>
    <w:p w14:paraId="136ACBE9" w14:textId="175C1CE2" w:rsidR="0018254B" w:rsidRPr="00597568" w:rsidRDefault="0018254B" w:rsidP="0018254B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 w:rsidRPr="00597568">
        <w:rPr>
          <w:rFonts w:ascii="Consolas" w:hAnsi="Consolas"/>
          <w:sz w:val="20"/>
        </w:rPr>
        <w:t xml:space="preserve">EventHubsGeoDRManagementSample.exe </w:t>
      </w:r>
      <w:r>
        <w:rPr>
          <w:rFonts w:ascii="Consolas" w:hAnsi="Consolas"/>
          <w:sz w:val="20"/>
        </w:rPr>
        <w:t xml:space="preserve">FailOver </w:t>
      </w:r>
      <w:r w:rsidRPr="00597568">
        <w:rPr>
          <w:rFonts w:ascii="Consolas" w:hAnsi="Consolas"/>
          <w:sz w:val="20"/>
        </w:rPr>
        <w:t>GeoDRSampleConfig.json</w:t>
      </w:r>
    </w:p>
    <w:p w14:paraId="775FA3B5" w14:textId="77777777" w:rsidR="00455259" w:rsidRPr="00597568" w:rsidRDefault="00455259" w:rsidP="00597568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 w:rsidRPr="00597568">
        <w:rPr>
          <w:rFonts w:ascii="Consolas" w:hAnsi="Consolas"/>
          <w:sz w:val="20"/>
        </w:rPr>
        <w:t>EventHubsGeoDRManagementSample.exe BreakPairing GeoDRSampleConfig.json</w:t>
      </w:r>
    </w:p>
    <w:p w14:paraId="2B185157" w14:textId="0390B685" w:rsidR="00455259" w:rsidRDefault="00455259" w:rsidP="00597568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 w:rsidRPr="00597568">
        <w:rPr>
          <w:rFonts w:ascii="Consolas" w:hAnsi="Consolas"/>
          <w:sz w:val="20"/>
        </w:rPr>
        <w:t>EventHubsGeoDRManagementSample.exe DeleteAlias GeoDRSampleConfig.json</w:t>
      </w:r>
    </w:p>
    <w:p w14:paraId="61B6B5FA" w14:textId="3B149122" w:rsidR="004F6125" w:rsidRDefault="004F6125" w:rsidP="00597568">
      <w:pPr>
        <w:pStyle w:val="ListParagraph"/>
        <w:numPr>
          <w:ilvl w:val="0"/>
          <w:numId w:val="9"/>
        </w:numPr>
        <w:rPr>
          <w:rFonts w:ascii="Consolas" w:hAnsi="Consolas"/>
          <w:sz w:val="20"/>
        </w:rPr>
      </w:pPr>
      <w:r w:rsidRPr="00597568">
        <w:rPr>
          <w:rFonts w:ascii="Consolas" w:hAnsi="Consolas"/>
          <w:sz w:val="20"/>
        </w:rPr>
        <w:t xml:space="preserve">EventHubsGeoDRManagementSample.exe </w:t>
      </w:r>
      <w:r>
        <w:rPr>
          <w:rFonts w:ascii="Consolas" w:hAnsi="Consolas"/>
          <w:sz w:val="20"/>
        </w:rPr>
        <w:t>GetConnectionStrings</w:t>
      </w:r>
      <w:r w:rsidRPr="00597568">
        <w:rPr>
          <w:rFonts w:ascii="Consolas" w:hAnsi="Consolas"/>
          <w:sz w:val="20"/>
        </w:rPr>
        <w:t xml:space="preserve"> GeoDRSampleConfig.json</w:t>
      </w:r>
    </w:p>
    <w:p w14:paraId="5EF53060" w14:textId="77777777" w:rsidR="006D2981" w:rsidRPr="006D2981" w:rsidRDefault="006D2981" w:rsidP="006D2981">
      <w:pPr>
        <w:rPr>
          <w:rStyle w:val="SubtitleChar"/>
        </w:rPr>
      </w:pPr>
    </w:p>
    <w:p w14:paraId="7F4DAE6F" w14:textId="77777777" w:rsidR="006D2981" w:rsidRPr="00A06C24" w:rsidRDefault="006D2981" w:rsidP="00A06C24">
      <w:pPr>
        <w:spacing w:before="100" w:beforeAutospacing="1" w:after="100" w:afterAutospacing="1" w:line="240" w:lineRule="auto"/>
      </w:pPr>
    </w:p>
    <w:p w14:paraId="6229D72D" w14:textId="77777777" w:rsidR="00A06C24" w:rsidRDefault="00A06C24" w:rsidP="00572AC0"/>
    <w:sectPr w:rsidR="00A06C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ubha Vijayasarathy" w:date="2017-09-26T22:40:00Z" w:initials="SV">
    <w:p w14:paraId="7964BEA8" w14:textId="385175C0" w:rsidR="00125B59" w:rsidRDefault="00125B59">
      <w:pPr>
        <w:pStyle w:val="CommentText"/>
      </w:pPr>
      <w:r>
        <w:rPr>
          <w:rStyle w:val="CommentReference"/>
        </w:rPr>
        <w:annotationRef/>
      </w:r>
      <w:r>
        <w:t>TODO</w:t>
      </w:r>
      <w:r w:rsidR="005A60DA">
        <w:t xml:space="preserve"> link</w:t>
      </w:r>
    </w:p>
  </w:comment>
  <w:comment w:id="2" w:author="Shubha Vijayasarathy" w:date="2017-09-26T22:40:00Z" w:initials="SV">
    <w:p w14:paraId="28F32CCB" w14:textId="57B36075" w:rsidR="00125B59" w:rsidRDefault="00125B59">
      <w:pPr>
        <w:pStyle w:val="CommentText"/>
      </w:pPr>
      <w:r>
        <w:rPr>
          <w:rStyle w:val="CommentReference"/>
        </w:rPr>
        <w:annotationRef/>
      </w:r>
      <w:r>
        <w:t>TODO</w:t>
      </w:r>
      <w:r w:rsidR="005A60DA">
        <w:t xml:space="preserve">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64BEA8" w15:done="0"/>
  <w15:commentEx w15:paraId="28F32CC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86FB2" w14:textId="77777777" w:rsidR="00EA7A77" w:rsidRDefault="00EA7A77" w:rsidP="001A1136">
      <w:pPr>
        <w:spacing w:after="0" w:line="240" w:lineRule="auto"/>
      </w:pPr>
      <w:r>
        <w:separator/>
      </w:r>
    </w:p>
  </w:endnote>
  <w:endnote w:type="continuationSeparator" w:id="0">
    <w:p w14:paraId="04B972A2" w14:textId="77777777" w:rsidR="00EA7A77" w:rsidRDefault="00EA7A77" w:rsidP="001A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BBFF1" w14:textId="77777777" w:rsidR="001A1136" w:rsidRDefault="001A1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DA954" w14:textId="77777777" w:rsidR="001A1136" w:rsidRDefault="001A1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DE3A1" w14:textId="77777777" w:rsidR="001A1136" w:rsidRDefault="001A1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AD6F8" w14:textId="77777777" w:rsidR="00EA7A77" w:rsidRDefault="00EA7A77" w:rsidP="001A1136">
      <w:pPr>
        <w:spacing w:after="0" w:line="240" w:lineRule="auto"/>
      </w:pPr>
      <w:r>
        <w:separator/>
      </w:r>
    </w:p>
  </w:footnote>
  <w:footnote w:type="continuationSeparator" w:id="0">
    <w:p w14:paraId="3A210D18" w14:textId="77777777" w:rsidR="00EA7A77" w:rsidRDefault="00EA7A77" w:rsidP="001A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45A1" w14:textId="77777777" w:rsidR="001A1136" w:rsidRDefault="001A1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D24BF" w14:textId="77777777" w:rsidR="001A1136" w:rsidRDefault="001A1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E7C95" w14:textId="77777777" w:rsidR="001A1136" w:rsidRDefault="001A1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991"/>
    <w:multiLevelType w:val="multilevel"/>
    <w:tmpl w:val="F68A9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28AA"/>
    <w:multiLevelType w:val="multilevel"/>
    <w:tmpl w:val="6E56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25A5"/>
    <w:multiLevelType w:val="hybridMultilevel"/>
    <w:tmpl w:val="6DA8276A"/>
    <w:lvl w:ilvl="0" w:tplc="9934D3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C2560"/>
    <w:multiLevelType w:val="hybridMultilevel"/>
    <w:tmpl w:val="E5F0A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0489"/>
    <w:multiLevelType w:val="hybridMultilevel"/>
    <w:tmpl w:val="90F6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D64DE"/>
    <w:multiLevelType w:val="hybridMultilevel"/>
    <w:tmpl w:val="6458E7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94F2B"/>
    <w:multiLevelType w:val="hybridMultilevel"/>
    <w:tmpl w:val="4ABC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52884"/>
    <w:multiLevelType w:val="hybridMultilevel"/>
    <w:tmpl w:val="1E2C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6414F"/>
    <w:multiLevelType w:val="hybridMultilevel"/>
    <w:tmpl w:val="55087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D625A"/>
    <w:multiLevelType w:val="hybridMultilevel"/>
    <w:tmpl w:val="B8089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ubha Vijayasarathy">
    <w15:presenceInfo w15:providerId="AD" w15:userId="S-1-5-21-2127521184-1604012920-1887927527-175836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B7"/>
    <w:rsid w:val="0006646E"/>
    <w:rsid w:val="000F7289"/>
    <w:rsid w:val="00125B59"/>
    <w:rsid w:val="0015494F"/>
    <w:rsid w:val="0018254B"/>
    <w:rsid w:val="001A1136"/>
    <w:rsid w:val="002051CD"/>
    <w:rsid w:val="003E435C"/>
    <w:rsid w:val="00455259"/>
    <w:rsid w:val="004F6125"/>
    <w:rsid w:val="00572AC0"/>
    <w:rsid w:val="00597568"/>
    <w:rsid w:val="005A60DA"/>
    <w:rsid w:val="005B6034"/>
    <w:rsid w:val="005C590F"/>
    <w:rsid w:val="005F629B"/>
    <w:rsid w:val="00635C3F"/>
    <w:rsid w:val="006D2981"/>
    <w:rsid w:val="006D6BCB"/>
    <w:rsid w:val="00747DE7"/>
    <w:rsid w:val="008827C2"/>
    <w:rsid w:val="0095304F"/>
    <w:rsid w:val="00A06C24"/>
    <w:rsid w:val="00AB22B7"/>
    <w:rsid w:val="00B05DAE"/>
    <w:rsid w:val="00C44902"/>
    <w:rsid w:val="00C51519"/>
    <w:rsid w:val="00CA7611"/>
    <w:rsid w:val="00D162DC"/>
    <w:rsid w:val="00D440BB"/>
    <w:rsid w:val="00DE0DD1"/>
    <w:rsid w:val="00DE5A69"/>
    <w:rsid w:val="00EA7A77"/>
    <w:rsid w:val="00F24D71"/>
    <w:rsid w:val="00FB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03FC"/>
  <w15:chartTrackingRefBased/>
  <w15:docId w15:val="{9C7C85A0-AC87-41E6-90D7-C4586B7A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36"/>
  </w:style>
  <w:style w:type="paragraph" w:styleId="Footer">
    <w:name w:val="footer"/>
    <w:basedOn w:val="Normal"/>
    <w:link w:val="FooterChar"/>
    <w:uiPriority w:val="99"/>
    <w:unhideWhenUsed/>
    <w:rsid w:val="001A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36"/>
  </w:style>
  <w:style w:type="paragraph" w:styleId="Title">
    <w:name w:val="Title"/>
    <w:basedOn w:val="Normal"/>
    <w:next w:val="Normal"/>
    <w:link w:val="TitleChar"/>
    <w:uiPriority w:val="10"/>
    <w:qFormat/>
    <w:rsid w:val="00572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4D7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D29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5B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B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B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B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B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contoso.org/exampleap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azure-resource-manager/resource-group-authenticate-service-principal-cl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azure/azure-resource-manager/resource-group-authenticate-service-princip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resource-manager/resource-group-create-service-principal-porta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Vijayasarathy</dc:creator>
  <cp:keywords/>
  <dc:description/>
  <cp:lastModifiedBy>Shubha Vijayasarathy</cp:lastModifiedBy>
  <cp:revision>18</cp:revision>
  <dcterms:created xsi:type="dcterms:W3CDTF">2017-09-25T22:28:00Z</dcterms:created>
  <dcterms:modified xsi:type="dcterms:W3CDTF">2017-10-03T03:55:00Z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shvija@microsoft.com</vt:lpwstr>
  </property>
  <property fmtid="{D5CDD505-2E9C-101B-9397-08002B2CF9AE}" pid="6" name="MSIP_Label_f42aa342-8706-4288-bd11-ebb85995028c_SetDate">
    <vt:lpwstr>2017-09-26T11:07:44.3965265-07:00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