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8"/>
          <w:szCs w:val="28"/>
        </w:rPr>
      </w:pPr>
      <w:r w:rsidDel="00000000" w:rsidR="00000000" w:rsidRPr="00000000">
        <w:rPr>
          <w:b w:val="1"/>
          <w:bCs w:val="1"/>
          <w:sz w:val="28"/>
          <w:szCs w:val="28"/>
          <w:rtl w:val="0"/>
        </w:rPr>
        <w:t xml:space="preserve">Query to Claude Opus 4.8 - Return data from form call to the database</w:t>
      </w:r>
    </w:p>
    <w:p w:rsidR="00000000" w:rsidDel="00000000" w:rsidP="00000000" w:rsidRDefault="00000000" w:rsidRPr="00000000" w14:paraId="00000002">
      <w:pPr>
        <w:spacing w:after="240" w:before="240" w:lineRule="auto"/>
        <w:rPr>
          <w:sz w:val="24"/>
          <w:szCs w:val="24"/>
        </w:rPr>
      </w:pPr>
      <w:r w:rsidDel="00000000" w:rsidR="00000000" w:rsidRPr="00000000">
        <w:rPr>
          <w:rFonts w:ascii="Roboto" w:cs="Roboto" w:eastAsia="Roboto" w:hAnsi="Roboto"/>
          <w:color w:val="121212"/>
          <w:sz w:val="26"/>
          <w:szCs w:val="26"/>
          <w:shd w:fill="efeeeb" w:val="clear"/>
          <w:rtl w:val="0"/>
        </w:rPr>
        <w:t xml:space="preserve">In another chat, I asked for a general query front-end for the uof_main_processing_table that we have been working on for our Use of Force database rehost project. I would like you, Claude Opus 4.8 to take the case where queries entered through that front-end return one or more rows. I would like a front end similar to our query input front end, but that allows the user to page up and down, row by row, through the one or many rows returned. In addition, I would like the option to show the many rows returned as a table on the screen, with the option to export it as a spreadsheet. How does that sound, Claude?</w:t>
      </w:r>
      <w:r w:rsidDel="00000000" w:rsidR="00000000" w:rsidRPr="00000000">
        <w:rPr>
          <w:sz w:val="24"/>
          <w:szCs w:val="24"/>
          <w:rtl w:val="0"/>
        </w:rPr>
        <w:t xml:space="preserve"> </w:t>
      </w:r>
    </w:p>
    <w:p w:rsidR="00000000" w:rsidDel="00000000" w:rsidP="00000000" w:rsidRDefault="00000000" w:rsidRPr="00000000" w14:paraId="00000003">
      <w:pPr>
        <w:spacing w:after="240" w:before="240" w:lineRule="auto"/>
        <w:rPr>
          <w:sz w:val="24"/>
          <w:szCs w:val="24"/>
        </w:rPr>
      </w:pPr>
      <w:r w:rsidDel="00000000" w:rsidR="00000000" w:rsidRPr="00000000">
        <w:rPr>
          <w:rtl w:val="0"/>
        </w:rPr>
      </w:r>
    </w:p>
    <w:p w:rsidR="00000000" w:rsidDel="00000000" w:rsidP="00000000" w:rsidRDefault="00000000" w:rsidRPr="00000000" w14:paraId="00000004">
      <w:pPr>
        <w:spacing w:after="240" w:before="240" w:lineRule="auto"/>
        <w:rPr>
          <w:b w:val="1"/>
          <w:bCs w:val="1"/>
          <w:sz w:val="28"/>
          <w:szCs w:val="28"/>
        </w:rPr>
      </w:pPr>
      <w:r w:rsidDel="00000000" w:rsidR="00000000" w:rsidRPr="00000000">
        <w:rPr>
          <w:b w:val="1"/>
          <w:bCs w:val="1"/>
          <w:sz w:val="28"/>
          <w:szCs w:val="28"/>
          <w:rtl w:val="0"/>
        </w:rPr>
        <w:t xml:space="preserve">Claude’s design and partial execution of the request:</w:t>
      </w:r>
    </w:p>
    <w:p w:rsidR="00000000" w:rsidDel="00000000" w:rsidP="00000000" w:rsidRDefault="00000000" w:rsidRPr="00000000" w14:paraId="00000005">
      <w:pPr>
        <w:spacing w:after="240" w:before="240" w:lineRule="auto"/>
        <w:rPr>
          <w:sz w:val="24"/>
          <w:szCs w:val="24"/>
        </w:rPr>
      </w:pPr>
      <w:r w:rsidDel="00000000" w:rsidR="00000000" w:rsidRPr="00000000">
        <w:rPr>
          <w:rtl w:val="0"/>
        </w:rPr>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This sounds right — and it's the natural sibling to the query builder. Since the two are a matched pair for the same project, I'll keep the same visual identity (the teal/ink records style, literal schema column names in monospace, the </w:t>
      </w:r>
      <w:r w:rsidDel="00000000" w:rsidR="00000000" w:rsidRPr="00000000">
        <w:rPr>
          <w:rFonts w:ascii="Roboto Mono" w:cs="Roboto Mono" w:eastAsia="Roboto Mono" w:hAnsi="Roboto Mono"/>
          <w:color w:val="188038"/>
          <w:sz w:val="24"/>
          <w:szCs w:val="24"/>
          <w:rtl w:val="0"/>
        </w:rPr>
        <w:t xml:space="preserve">uof_main_processing_table</w:t>
      </w:r>
      <w:r w:rsidDel="00000000" w:rsidR="00000000" w:rsidRPr="00000000">
        <w:rPr>
          <w:sz w:val="24"/>
          <w:szCs w:val="24"/>
          <w:rtl w:val="0"/>
        </w:rPr>
        <w:t xml:space="preserve"> badge) rather than invent a new look.</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One real design decision to flag up front: a static front end has no live DB connection, so I'm building the viewer to be </w:t>
      </w:r>
      <w:r w:rsidDel="00000000" w:rsidR="00000000" w:rsidRPr="00000000">
        <w:rPr>
          <w:b w:val="1"/>
          <w:bCs w:val="1"/>
          <w:sz w:val="24"/>
          <w:szCs w:val="24"/>
          <w:rtl w:val="0"/>
        </w:rPr>
        <w:t xml:space="preserve">fed</w:t>
      </w:r>
      <w:r w:rsidDel="00000000" w:rsidR="00000000" w:rsidRPr="00000000">
        <w:rPr>
          <w:sz w:val="24"/>
          <w:szCs w:val="24"/>
          <w:rtl w:val="0"/>
        </w:rPr>
        <w:t xml:space="preserve"> a result set. It ships with clearly-labeled synthetic sample rows so it works immediately, plus a </w:t>
      </w:r>
      <w:r w:rsidDel="00000000" w:rsidR="00000000" w:rsidRPr="00000000">
        <w:rPr>
          <w:b w:val="1"/>
          <w:bCs w:val="1"/>
          <w:sz w:val="24"/>
          <w:szCs w:val="24"/>
          <w:rtl w:val="0"/>
        </w:rPr>
        <w:t xml:space="preserve">Load results</w:t>
      </w:r>
      <w:r w:rsidDel="00000000" w:rsidR="00000000" w:rsidRPr="00000000">
        <w:rPr>
          <w:sz w:val="24"/>
          <w:szCs w:val="24"/>
          <w:rtl w:val="0"/>
        </w:rPr>
        <w:t xml:space="preserve"> panel that accepts the JSON your query builder already emits (or pasted CSV/TSV) — so in production, you wire the backend's rows straight into it. Let me build it. Let me fix a stray typo in the sample data and verify the file parses cleanly. Syntax is clean, all 45 columns are present and unique across the 7 groups, and the sample rows validate against the schema. Here is the results viewer — the sibling tool to the query builder, same teal/ink records identity and the same literal schema-column-name discipline.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What it does:</w:t>
      </w:r>
    </w:p>
    <w:p w:rsidR="00000000" w:rsidDel="00000000" w:rsidP="00000000" w:rsidRDefault="00000000" w:rsidRPr="00000000" w14:paraId="00000009">
      <w:pPr>
        <w:spacing w:after="240" w:before="240" w:lineRule="auto"/>
        <w:rPr>
          <w:sz w:val="24"/>
          <w:szCs w:val="24"/>
        </w:rPr>
      </w:pPr>
      <w:r w:rsidDel="00000000" w:rsidR="00000000" w:rsidRPr="00000000">
        <w:rPr>
          <w:b w:val="1"/>
          <w:bCs w:val="1"/>
          <w:sz w:val="24"/>
          <w:szCs w:val="24"/>
          <w:rtl w:val="0"/>
        </w:rPr>
        <w:t xml:space="preserve">Record pager.</w:t>
      </w:r>
      <w:r w:rsidDel="00000000" w:rsidR="00000000" w:rsidRPr="00000000">
        <w:rPr>
          <w:rFonts w:ascii="Arial Unicode MS" w:cs="Arial Unicode MS" w:eastAsia="Arial Unicode MS" w:hAnsi="Arial Unicode MS"/>
          <w:sz w:val="24"/>
          <w:szCs w:val="24"/>
          <w:rtl w:val="0"/>
        </w:rPr>
        <w:t xml:space="preserve"> Opens on one record at a time with all 45 columns laid out in the same seven groups as the query builder (Key → Geography &amp; agency → Incident &amp; force → Subject → Officer → Environment → Video). Page with the </w:t>
      </w:r>
      <w:r w:rsidDel="00000000" w:rsidR="00000000" w:rsidRPr="00000000">
        <w:rPr>
          <w:rFonts w:ascii="Roboto Mono" w:cs="Roboto Mono" w:eastAsia="Roboto Mono" w:hAnsi="Roboto Mono"/>
          <w:color w:val="188038"/>
          <w:sz w:val="24"/>
          <w:szCs w:val="24"/>
          <w:rtl w:val="0"/>
        </w:rPr>
        <w:t xml:space="preserve">‹ ›</w:t>
      </w:r>
      <w:r w:rsidDel="00000000" w:rsidR="00000000" w:rsidRPr="00000000">
        <w:rPr>
          <w:sz w:val="24"/>
          <w:szCs w:val="24"/>
          <w:rtl w:val="0"/>
        </w:rPr>
        <w:t xml:space="preserve"> buttons, the first/last jumps, a "Record N of M" box you can type into, or the arrow keys / PageUp-PageDown. Empty fields show a muted em-dash so a blank reads as "recorded blank," not "missing."</w:t>
      </w:r>
    </w:p>
    <w:p w:rsidR="00000000" w:rsidDel="00000000" w:rsidP="00000000" w:rsidRDefault="00000000" w:rsidRPr="00000000" w14:paraId="0000000A">
      <w:pPr>
        <w:spacing w:after="240" w:before="240" w:lineRule="auto"/>
        <w:rPr>
          <w:sz w:val="24"/>
          <w:szCs w:val="24"/>
        </w:rPr>
      </w:pPr>
      <w:r w:rsidDel="00000000" w:rsidR="00000000" w:rsidRPr="00000000">
        <w:rPr>
          <w:b w:val="1"/>
          <w:bCs w:val="1"/>
          <w:sz w:val="24"/>
          <w:szCs w:val="24"/>
          <w:rtl w:val="0"/>
        </w:rPr>
        <w:t xml:space="preserve">Table view.</w:t>
      </w:r>
      <w:r w:rsidDel="00000000" w:rsidR="00000000" w:rsidRPr="00000000">
        <w:rPr>
          <w:sz w:val="24"/>
          <w:szCs w:val="24"/>
          <w:rtl w:val="0"/>
        </w:rPr>
        <w:t xml:space="preserve"> The Record/Table toggle in the control bar switches to the full result set as a scrollable grid with a sticky header and a sticky row-number column. Click any row to jump back into the record view at that incident.</w:t>
      </w:r>
    </w:p>
    <w:p w:rsidR="00000000" w:rsidDel="00000000" w:rsidP="00000000" w:rsidRDefault="00000000" w:rsidRPr="00000000" w14:paraId="0000000B">
      <w:pPr>
        <w:spacing w:after="240" w:before="240" w:lineRule="auto"/>
        <w:rPr>
          <w:sz w:val="24"/>
          <w:szCs w:val="24"/>
        </w:rPr>
      </w:pPr>
      <w:r w:rsidDel="00000000" w:rsidR="00000000" w:rsidRPr="00000000">
        <w:rPr>
          <w:b w:val="1"/>
          <w:bCs w:val="1"/>
          <w:sz w:val="24"/>
          <w:szCs w:val="24"/>
          <w:rtl w:val="0"/>
        </w:rPr>
        <w:t xml:space="preserve">Export.</w:t>
      </w:r>
      <w:r w:rsidDel="00000000" w:rsidR="00000000" w:rsidRPr="00000000">
        <w:rPr>
          <w:sz w:val="24"/>
          <w:szCs w:val="24"/>
          <w:rtl w:val="0"/>
        </w:rPr>
        <w:t xml:space="preserve"> "Export spreadsheet" produces a real </w:t>
      </w:r>
      <w:r w:rsidDel="00000000" w:rsidR="00000000" w:rsidRPr="00000000">
        <w:rPr>
          <w:rFonts w:ascii="Roboto Mono" w:cs="Roboto Mono" w:eastAsia="Roboto Mono" w:hAnsi="Roboto Mono"/>
          <w:color w:val="188038"/>
          <w:sz w:val="24"/>
          <w:szCs w:val="24"/>
          <w:rtl w:val="0"/>
        </w:rPr>
        <w:t xml:space="preserve">.xlsx</w:t>
      </w:r>
      <w:r w:rsidDel="00000000" w:rsidR="00000000" w:rsidRPr="00000000">
        <w:rPr>
          <w:sz w:val="24"/>
          <w:szCs w:val="24"/>
          <w:rtl w:val="0"/>
        </w:rPr>
        <w:t xml:space="preserve"> (via SheetJS, loaded on demand, with a CSV fallback if the library can't load); "Export CSV" gives an Excel/Sheets-ready UTF-8 file. Both follow the canonical column order and quote the slash/space columns' values correctly.</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Two things worth knowing:</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A static front end has no DB connection, so it's built to be </w:t>
      </w:r>
      <w:r w:rsidDel="00000000" w:rsidR="00000000" w:rsidRPr="00000000">
        <w:rPr>
          <w:i w:val="1"/>
          <w:iCs w:val="1"/>
          <w:sz w:val="24"/>
          <w:szCs w:val="24"/>
          <w:rtl w:val="0"/>
        </w:rPr>
        <w:t xml:space="preserve">fed</w:t>
      </w:r>
      <w:r w:rsidDel="00000000" w:rsidR="00000000" w:rsidRPr="00000000">
        <w:rPr>
          <w:sz w:val="24"/>
          <w:szCs w:val="24"/>
          <w:rtl w:val="0"/>
        </w:rPr>
        <w:t xml:space="preserve"> rows. It ships with four clearly-synthetic </w:t>
      </w:r>
      <w:r w:rsidDel="00000000" w:rsidR="00000000" w:rsidRPr="00000000">
        <w:rPr>
          <w:rFonts w:ascii="Roboto Mono" w:cs="Roboto Mono" w:eastAsia="Roboto Mono" w:hAnsi="Roboto Mono"/>
          <w:color w:val="188038"/>
          <w:sz w:val="24"/>
          <w:szCs w:val="24"/>
          <w:rtl w:val="0"/>
        </w:rPr>
        <w:t xml:space="preserve">SAMPLE-####</w:t>
      </w:r>
      <w:r w:rsidDel="00000000" w:rsidR="00000000" w:rsidRPr="00000000">
        <w:rPr>
          <w:sz w:val="24"/>
          <w:szCs w:val="24"/>
          <w:rtl w:val="0"/>
        </w:rPr>
        <w:t xml:space="preserve"> records so it works the moment you open it; the </w:t>
      </w:r>
      <w:r w:rsidDel="00000000" w:rsidR="00000000" w:rsidRPr="00000000">
        <w:rPr>
          <w:b w:val="1"/>
          <w:bCs w:val="1"/>
          <w:sz w:val="24"/>
          <w:szCs w:val="24"/>
          <w:rtl w:val="0"/>
        </w:rPr>
        <w:t xml:space="preserve">Load results</w:t>
      </w:r>
      <w:r w:rsidDel="00000000" w:rsidR="00000000" w:rsidRPr="00000000">
        <w:rPr>
          <w:sz w:val="24"/>
          <w:szCs w:val="24"/>
          <w:rtl w:val="0"/>
        </w:rPr>
        <w:t xml:space="preserve"> button takes a JSON array of row objects (the shape your backend returns) or pasted CSV/TSV. Incoming keys are matched to the schema case- and punctuation-insensitively, so </w:t>
      </w:r>
      <w:r w:rsidDel="00000000" w:rsidR="00000000" w:rsidRPr="00000000">
        <w:rPr>
          <w:rFonts w:ascii="Roboto Mono" w:cs="Roboto Mono" w:eastAsia="Roboto Mono" w:hAnsi="Roboto Mono"/>
          <w:color w:val="188038"/>
          <w:sz w:val="24"/>
          <w:szCs w:val="24"/>
          <w:rtl w:val="0"/>
        </w:rPr>
        <w:t xml:space="preserve">officer_race_ethnicity</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Officer_Race/Ethnicity</w:t>
      </w:r>
      <w:r w:rsidDel="00000000" w:rsidR="00000000" w:rsidRPr="00000000">
        <w:rPr>
          <w:sz w:val="24"/>
          <w:szCs w:val="24"/>
          <w:rtl w:val="0"/>
        </w:rPr>
        <w:t xml:space="preserve">, etc. all land in the right field.</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The column order in both views follows the grouped reading order rather than raw </w:t>
      </w:r>
      <w:r w:rsidDel="00000000" w:rsidR="00000000" w:rsidRPr="00000000">
        <w:rPr>
          <w:rFonts w:ascii="Roboto Mono" w:cs="Roboto Mono" w:eastAsia="Roboto Mono" w:hAnsi="Roboto Mono"/>
          <w:color w:val="188038"/>
          <w:sz w:val="24"/>
          <w:szCs w:val="24"/>
          <w:rtl w:val="0"/>
        </w:rPr>
        <w:t xml:space="preserve">SELECT *</w:t>
      </w:r>
      <w:r w:rsidDel="00000000" w:rsidR="00000000" w:rsidRPr="00000000">
        <w:rPr>
          <w:rFonts w:ascii="Arial Unicode MS" w:cs="Arial Unicode MS" w:eastAsia="Arial Unicode MS" w:hAnsi="Arial Unicode MS"/>
          <w:sz w:val="24"/>
          <w:szCs w:val="24"/>
          <w:rtl w:val="0"/>
        </w:rPr>
        <w:t xml:space="preserve"> schema order, to keep related fields adjacent — exports use that same order. If you'd rather exports mirror the table's physical column order instead, that's a one-line change. And when you're ready to wire it to the live query path, the cleanest seam is: builder emits SQL/JSON → backend returns a JSON array → drop that array in where </w:t>
      </w:r>
      <w:r w:rsidDel="00000000" w:rsidR="00000000" w:rsidRPr="00000000">
        <w:rPr>
          <w:rFonts w:ascii="Roboto Mono" w:cs="Roboto Mono" w:eastAsia="Roboto Mono" w:hAnsi="Roboto Mono"/>
          <w:color w:val="188038"/>
          <w:sz w:val="24"/>
          <w:szCs w:val="24"/>
          <w:rtl w:val="0"/>
        </w:rPr>
        <w:t xml:space="preserve">SAMPLE</w:t>
      </w:r>
      <w:r w:rsidDel="00000000" w:rsidR="00000000" w:rsidRPr="00000000">
        <w:rPr>
          <w:sz w:val="24"/>
          <w:szCs w:val="24"/>
          <w:rtl w:val="0"/>
        </w:rPr>
        <w:t xml:space="preserve"> is, or post it through the Load panel.</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Want me to add the query criteria echo at the top (showing the </w:t>
      </w:r>
      <w:r w:rsidDel="00000000" w:rsidR="00000000" w:rsidRPr="00000000">
        <w:rPr>
          <w:rFonts w:ascii="Roboto Mono" w:cs="Roboto Mono" w:eastAsia="Roboto Mono" w:hAnsi="Roboto Mono"/>
          <w:color w:val="188038"/>
          <w:sz w:val="24"/>
          <w:szCs w:val="24"/>
          <w:rtl w:val="0"/>
        </w:rPr>
        <w:t xml:space="preserve">WHERE</w:t>
      </w:r>
      <w:r w:rsidDel="00000000" w:rsidR="00000000" w:rsidRPr="00000000">
        <w:rPr>
          <w:sz w:val="24"/>
          <w:szCs w:val="24"/>
          <w:rtl w:val="0"/>
        </w:rPr>
        <w:t xml:space="preserve"> clause that produced the set), or a column-picker so the table and export can be trimmed to a chosen subset?</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