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HOLLY GRACE</w:t>
      </w:r>
    </w:p>
    <w:p>
      <w:pPr>
        <w:spacing w:after="600"/>
        <w:jc w:val="center"/>
      </w:pPr>
      <w:r>
        <w:rPr>
          <w:rFonts w:ascii="Arial" w:cs="Arial" w:eastAsia="Arial" w:hAnsi="Arial"/>
          <w:color w:val="4A6FA5"/>
          <w:sz w:val="36"/>
          <w:szCs w:val="36"/>
        </w:rPr>
        <w:t xml:space="preserve">Design Methodology</w:t>
      </w:r>
    </w:p>
    <w:p>
      <w:pPr>
        <w:pBdr>
          <w:top w:val="single" w:color="4A6FA5" w:sz="2" w:space="8"/>
        </w:pBdr>
        <w:spacing w:before="200" w:after="120"/>
        <w:jc w:val="center"/>
      </w:pPr>
      <w:r>
        <w:rPr>
          <w:rFonts w:ascii="Arial" w:cs="Arial" w:eastAsia="Arial" w:hAnsi="Arial"/>
          <w:color w:val="666666"/>
          <w:sz w:val="24"/>
          <w:szCs w:val="24"/>
        </w:rPr>
        <w:t xml:space="preserve">A Fourteen-Step Engineering Discipline</w:t>
      </w:r>
    </w:p>
    <w:p>
      <w:pPr>
        <w:spacing w:after="120"/>
        <w:jc w:val="center"/>
      </w:pPr>
      <w:r>
        <w:rPr>
          <w:rFonts w:ascii="Arial" w:cs="Arial" w:eastAsia="Arial" w:hAnsi="Arial"/>
          <w:color w:val="666666"/>
          <w:sz w:val="24"/>
          <w:szCs w:val="24"/>
        </w:rPr>
        <w:t xml:space="preserve">for Building Safety-Critical Autonomous Operations</w:t>
      </w:r>
    </w:p>
    <w:p>
      <w:pPr>
        <w:spacing w:before="1200"/>
      </w:pPr>
    </w:p>
    <w:p>
      <w:pPr>
        <w:spacing w:after="80"/>
        <w:jc w:val="center"/>
      </w:pPr>
      <w:r>
        <w:rPr>
          <w:rFonts w:ascii="Arial" w:cs="Arial" w:eastAsia="Arial" w:hAnsi="Arial"/>
          <w:color w:val="1A1A1A"/>
          <w:sz w:val="24"/>
          <w:szCs w:val="24"/>
        </w:rPr>
        <w:t xml:space="preserve">Sean P. Allen</w:t>
      </w:r>
    </w:p>
    <w:p>
      <w:pPr>
        <w:spacing w:after="80"/>
        <w:jc w:val="center"/>
      </w:pPr>
      <w:r>
        <w:rPr>
          <w:rFonts w:ascii="Arial" w:cs="Arial" w:eastAsia="Arial" w:hAnsi="Arial"/>
          <w:color w:val="666666"/>
          <w:sz w:val="22"/>
          <w:szCs w:val="22"/>
        </w:rPr>
        <w:t xml:space="preserve">17 February 2026</w:t>
      </w:r>
    </w:p>
    <w:p>
      <w:pPr>
        <w:spacing w:after="80"/>
        <w:jc w:val="center"/>
      </w:pPr>
      <w:r>
        <w:rPr>
          <w:rFonts w:ascii="Arial" w:cs="Arial" w:eastAsia="Arial" w:hAnsi="Arial"/>
          <w:color w:val="666666"/>
          <w:sz w:val="22"/>
          <w:szCs w:val="22"/>
        </w:rPr>
        <w:t xml:space="preserve">v1.0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Introduction</w:t>
      </w:r>
    </w:p>
    <w:p>
      <w:pPr>
        <w:spacing w:after="160" w:line="276"/>
      </w:pPr>
      <w:r>
        <w:rPr>
          <w:rFonts w:ascii="Arial" w:cs="Arial" w:eastAsia="Arial" w:hAnsi="Arial"/>
          <w:color w:val="1A1A1A"/>
          <w:sz w:val="22"/>
          <w:szCs w:val="22"/>
        </w:rPr>
        <w:t xml:space="preserve">Holly Grace is a multi-tenant autonomous operations platform whose failure modes include goal injection, sandbox escape, egress bypass, and invariant desynchronization. Published data shows 41–87% failure rates in multi-agent systems without structural safeguards. The design methodology exists to ensure that every architectural claim is traceable, every safety constraint is testable, and every failure mode is either mitigated or explicitly accepted as residual risk.</w:t>
      </w:r>
    </w:p>
    <w:p>
      <w:pPr>
        <w:spacing w:after="160" w:line="276"/>
      </w:pPr>
      <w:r>
        <w:rPr>
          <w:rFonts w:ascii="Arial" w:cs="Arial" w:eastAsia="Arial" w:hAnsi="Arial"/>
          <w:color w:val="1A1A1A"/>
          <w:sz w:val="22"/>
          <w:szCs w:val="22"/>
        </w:rPr>
        <w:t xml:space="preserve">This document details the fourteen steps of that methodology in execution order. Each step states what it does, why it was selected, what research finding drove its inclusion, and what artifact it produces. The steps are not independent—each one’s output is an input to at least one downstream step, forming a closed verification loop from stakeholder concern through deployment proof.</w:t>
      </w:r>
    </w:p>
    <w:p>
      <w:pPr>
        <w:pStyle w:val="Heading1"/>
        <w:spacing w:before="360" w:after="200"/>
      </w:pPr>
      <w:r>
        <w:rPr>
          <w:rFonts w:ascii="Arial" w:cs="Arial" w:eastAsia="Arial" w:hAnsi="Arial"/>
          <w:b/>
          <w:bCs/>
          <w:color w:val="1B3A5C"/>
          <w:sz w:val="32"/>
          <w:szCs w:val="32"/>
        </w:rPr>
        <w:t xml:space="preserve">Step 1. Ontological Foundation</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Ground the entire system design in the theoretical framework of informational monism as developed in Allen (2026). Every architectural concept—agency, goal structure, topology, failure predicates, governance—must trace to a formal definition in the monograph before it enters the codebase.</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Without a formal foundation, architectural terms become ambiguous. “Agent” means something different to every engineer. The monograph provides precise definitions: an agent is an entity with nonzero agency rank (dimensionality of steerable state space), digital branching (capacity to select among discrete successor states), and a feedback Jacobian (sensitivity of future channel structure to current output). These are measurable properties, not metaphors. Every Holly component that claims to be an “agent” must satisfy these three conditions.</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b/>
          <w:bCs/>
          <w:color w:val="1A1A1A"/>
          <w:sz w:val="22"/>
          <w:szCs w:val="22"/>
        </w:rPr>
        <w:t xml:space="preserve">Primary academic reference: </w:t>
      </w:r>
      <w:r>
        <w:rPr>
          <w:rFonts w:ascii="Arial" w:cs="Arial" w:eastAsia="Arial" w:hAnsi="Arial"/>
          <w:color w:val="1A1A1A"/>
          <w:sz w:val="22"/>
          <w:szCs w:val="22"/>
        </w:rPr>
        <w:t xml:space="preserve">Allen, S. P. (2026). Informational Monism, Morphogenetic Agency, and Goal-Specification Engineering: A Unified Framework. v2.0, 289 pp.</w:t>
      </w:r>
    </w:p>
    <w:p>
      <w:pPr>
        <w:pStyle w:val="ListParagraph"/>
        <w:numPr>
          <w:ilvl w:val="0"/>
          <w:numId w:val="2"/>
        </w:numPr>
        <w:spacing w:after="80" w:line="276"/>
      </w:pPr>
      <w:r>
        <w:rPr>
          <w:rFonts w:ascii="Arial" w:cs="Arial" w:eastAsia="Arial" w:hAnsi="Arial"/>
          <w:color w:val="1A1A1A"/>
          <w:sz w:val="22"/>
          <w:szCs w:val="22"/>
        </w:rPr>
        <w:t xml:space="preserve">Glossary of formal terms with monograph section references</w:t>
      </w:r>
    </w:p>
    <w:p>
      <w:pPr>
        <w:pStyle w:val="ListParagraph"/>
        <w:numPr>
          <w:ilvl w:val="0"/>
          <w:numId w:val="2"/>
        </w:numPr>
        <w:spacing w:after="80" w:line="276"/>
      </w:pPr>
      <w:r>
        <w:rPr>
          <w:rFonts w:ascii="Arial" w:cs="Arial" w:eastAsia="Arial" w:hAnsi="Arial"/>
          <w:color w:val="1A1A1A"/>
          <w:sz w:val="22"/>
          <w:szCs w:val="22"/>
        </w:rPr>
        <w:t xml:space="preserve">Traceability index mapping Holly components to theoretical constructs</w:t>
      </w:r>
    </w:p>
    <w:p>
      <w:pPr>
        <w:pStyle w:val="Heading1"/>
        <w:spacing w:before="360" w:after="200"/>
      </w:pPr>
      <w:r>
        <w:rPr>
          <w:rFonts w:ascii="Arial" w:cs="Arial" w:eastAsia="Arial" w:hAnsi="Arial"/>
          <w:b/>
          <w:bCs/>
          <w:color w:val="1B3A5C"/>
          <w:sz w:val="32"/>
          <w:szCs w:val="32"/>
        </w:rPr>
        <w:t xml:space="preserve">Step 2. Architecture Description Standard (ISO 42010)</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Adopt ISO/IEC/IEEE 42010:2022 as the governing standard for architecture descriptions. Every stakeholder concern maps to a viewpoint; every viewpoint produces a view; correspondence rules enforce consistency across views.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The research sweep found that Holly’s original plan had architecture diagrams (SAD, RTD) but no formal framework governing what those diagrams must contain, who they serve, or how they relate to each other. 42010 closes that gap by requiring explicit identification of stakeholders, their concerns, and the viewpoints that address those concerns. Without this, architecture documents become informal sketches that drift from reality.</w:t>
      </w:r>
    </w:p>
    <w:p>
      <w:pPr>
        <w:pStyle w:val="Heading2"/>
        <w:spacing w:before="280" w:after="160"/>
      </w:pPr>
      <w:r>
        <w:rPr>
          <w:rFonts w:ascii="Arial" w:cs="Arial" w:eastAsia="Arial" w:hAnsi="Arial"/>
          <w:b/>
          <w:bCs/>
          <w:color w:val="4A6FA5"/>
          <w:sz w:val="26"/>
          <w:szCs w:val="26"/>
        </w:rPr>
        <w:t xml:space="preserve">How It Drives the Build</w:t>
      </w:r>
    </w:p>
    <w:p>
      <w:pPr>
        <w:pStyle w:val="ListParagraph"/>
        <w:numPr>
          <w:ilvl w:val="0"/>
          <w:numId w:val="2"/>
        </w:numPr>
        <w:spacing w:after="80" w:line="276"/>
      </w:pPr>
      <w:r>
        <w:rPr>
          <w:rFonts w:ascii="Arial" w:cs="Arial" w:eastAsia="Arial" w:hAnsi="Arial"/>
          <w:color w:val="1A1A1A"/>
          <w:sz w:val="22"/>
          <w:szCs w:val="22"/>
        </w:rPr>
        <w:t xml:space="preserve">The SAD (System Architecture Diagram) and RTD (Runtime Topology Diagram) are 42010-compliant views.</w:t>
      </w:r>
    </w:p>
    <w:p>
      <w:pPr>
        <w:pStyle w:val="ListParagraph"/>
        <w:numPr>
          <w:ilvl w:val="0"/>
          <w:numId w:val="2"/>
        </w:numPr>
        <w:spacing w:after="80" w:line="276"/>
      </w:pPr>
      <w:r>
        <w:rPr>
          <w:rFonts w:ascii="Arial" w:cs="Arial" w:eastAsia="Arial" w:hAnsi="Arial"/>
          <w:color w:val="1A1A1A"/>
          <w:sz w:val="22"/>
          <w:szCs w:val="22"/>
        </w:rPr>
        <w:t xml:space="preserve">Each view has a declared viewpoint with a stated purpose and audience.</w:t>
      </w:r>
    </w:p>
    <w:p>
      <w:pPr>
        <w:pStyle w:val="ListParagraph"/>
        <w:numPr>
          <w:ilvl w:val="0"/>
          <w:numId w:val="2"/>
        </w:numPr>
        <w:spacing w:after="80" w:line="276"/>
      </w:pPr>
      <w:r>
        <w:rPr>
          <w:rFonts w:ascii="Arial" w:cs="Arial" w:eastAsia="Arial" w:hAnsi="Arial"/>
          <w:color w:val="1A1A1A"/>
          <w:sz w:val="22"/>
          <w:szCs w:val="22"/>
        </w:rPr>
        <w:t xml:space="preserve">Correspondence rules between SAD and RTD are machine-checkable (Step 8: fitness functions).</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42010-compliant architecture description framework</w:t>
      </w:r>
    </w:p>
    <w:p>
      <w:pPr>
        <w:pStyle w:val="ListParagraph"/>
        <w:numPr>
          <w:ilvl w:val="0"/>
          <w:numId w:val="2"/>
        </w:numPr>
        <w:spacing w:after="80" w:line="276"/>
      </w:pPr>
      <w:r>
        <w:rPr>
          <w:rFonts w:ascii="Arial" w:cs="Arial" w:eastAsia="Arial" w:hAnsi="Arial"/>
          <w:color w:val="1A1A1A"/>
          <w:sz w:val="22"/>
          <w:szCs w:val="22"/>
        </w:rPr>
        <w:t xml:space="preserve">Viewpoint catalog with stakeholder-concern mapping</w:t>
      </w:r>
    </w:p>
    <w:p>
      <w:pPr>
        <w:pStyle w:val="Heading1"/>
        <w:spacing w:before="360" w:after="200"/>
      </w:pPr>
      <w:r>
        <w:rPr>
          <w:rFonts w:ascii="Arial" w:cs="Arial" w:eastAsia="Arial" w:hAnsi="Arial"/>
          <w:b/>
          <w:bCs/>
          <w:color w:val="1B3A5C"/>
          <w:sz w:val="32"/>
          <w:szCs w:val="32"/>
        </w:rPr>
        <w:t xml:space="preserve">Step 3. Quality Model (ISO 25010)</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Adopt ISO/IEC 25010:2023 as the quality model. Every architectural decision must cite which quality attribute it serves: security, reliability, maintainability, performance efficiency, or functional suitability.</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Quality attributes are the basis for architectural trade-offs. When a developer asks “why does every boundary crossing go through KernelContext instead of a direct function call?” the answer must be traceable to a measurable quality attribute (security: permission gating; reliability: idempotency enforcement; maintainability: trace injection). Without a quality model, architectural constraints feel arbitrary and get eroded.</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Quality attribute catalog with target metrics per component</w:t>
      </w:r>
    </w:p>
    <w:p>
      <w:pPr>
        <w:pStyle w:val="ListParagraph"/>
        <w:numPr>
          <w:ilvl w:val="0"/>
          <w:numId w:val="2"/>
        </w:numPr>
        <w:spacing w:after="80" w:line="276"/>
      </w:pPr>
      <w:r>
        <w:rPr>
          <w:rFonts w:ascii="Arial" w:cs="Arial" w:eastAsia="Arial" w:hAnsi="Arial"/>
          <w:color w:val="1A1A1A"/>
          <w:sz w:val="22"/>
          <w:szCs w:val="22"/>
        </w:rPr>
        <w:t xml:space="preserve">Decision records linking each architectural choice to quality attributes</w:t>
      </w:r>
    </w:p>
    <w:p>
      <w:pPr>
        <w:pStyle w:val="Heading1"/>
        <w:spacing w:before="360" w:after="200"/>
      </w:pPr>
      <w:r>
        <w:rPr>
          <w:rFonts w:ascii="Arial" w:cs="Arial" w:eastAsia="Arial" w:hAnsi="Arial"/>
          <w:b/>
          <w:bCs/>
          <w:color w:val="1B3A5C"/>
          <w:sz w:val="32"/>
          <w:szCs w:val="32"/>
        </w:rPr>
        <w:t xml:space="preserve">Step 4. Lifecycle Processes (ISO 15288 / 12207)</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Adopt ISO/IEC/IEEE 15288:2023 (system lifecycle) and ISO/IEC/IEEE 12207:2017 (software lifecycle) as the process framework. These define the technical processes (architecture definition, design, integration, verification, validation, transition) and agreement processes (requirements negotiation, acceptance) that Holly’s development follows.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The critical finding from 15288 was the verification process definition: every requirement must have a verification method (inspection, analysis, demonstration, or test) and a verification artifact (the proof that the method was executed). The original Holly plan said “we’ll test things” but never specified what verification method applies to which requirement. 15288 forced the creation of the Requirements Traceability Matrix (RTM) as a living artifact, auto-generated from code decorators so it cannot drift from the codebase.</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Process tailoring document mapping 15288/12207 processes to Holly’s phases</w:t>
      </w:r>
    </w:p>
    <w:p>
      <w:pPr>
        <w:pStyle w:val="ListParagraph"/>
        <w:numPr>
          <w:ilvl w:val="0"/>
          <w:numId w:val="2"/>
        </w:numPr>
        <w:spacing w:after="80" w:line="276"/>
      </w:pPr>
      <w:r>
        <w:rPr>
          <w:rFonts w:ascii="Arial" w:cs="Arial" w:eastAsia="Arial" w:hAnsi="Arial"/>
          <w:color w:val="1A1A1A"/>
          <w:sz w:val="22"/>
          <w:szCs w:val="22"/>
        </w:rPr>
        <w:t xml:space="preserve">Verification method assignment per requirement class</w:t>
      </w:r>
    </w:p>
    <w:p>
      <w:pPr>
        <w:pStyle w:val="ListParagraph"/>
        <w:numPr>
          <w:ilvl w:val="0"/>
          <w:numId w:val="2"/>
        </w:numPr>
        <w:spacing w:after="80" w:line="276"/>
      </w:pPr>
      <w:r>
        <w:rPr>
          <w:rFonts w:ascii="Arial" w:cs="Arial" w:eastAsia="Arial" w:hAnsi="Arial"/>
          <w:color w:val="1A1A1A"/>
          <w:sz w:val="22"/>
          <w:szCs w:val="22"/>
        </w:rPr>
        <w:t xml:space="preserve">Living RTM auto-generated from decorator metadata (roadmap step 10)</w:t>
      </w:r>
    </w:p>
    <w:p>
      <w:pPr>
        <w:pStyle w:val="Heading1"/>
        <w:spacing w:before="360" w:after="200"/>
      </w:pPr>
      <w:r>
        <w:rPr>
          <w:rFonts w:ascii="Arial" w:cs="Arial" w:eastAsia="Arial" w:hAnsi="Arial"/>
          <w:b/>
          <w:bCs/>
          <w:color w:val="1B3A5C"/>
          <w:sz w:val="32"/>
          <w:szCs w:val="32"/>
        </w:rPr>
        <w:t xml:space="preserve">Step 5. Criticality Classification (SIL Mapping)</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Assign a Safety Integrity Level (SIL-1 through SIL-3) to every component based on the consequence of its failure. SIL-3 components receive formal specification, property-based testing, and independent verification. SIL-1 components receive unit tests and code review.</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SpaceX’s responsible-engineer model provided the insight: not all components carry equal risk. A configuration UI failure is an inconvenience; a kernel invariant failure is a safety breach that could allow goal injection or sandbox escape. Treating all components with uniform rigor is simultaneously wasteful (over-testing low-risk components) and dangerous (under-testing high-risk ones). SIL mapping allocates verification effort proportional to consequence.</w:t>
      </w:r>
    </w:p>
    <w:p>
      <w:pPr>
        <w:pStyle w:val="Heading2"/>
        <w:spacing w:before="280" w:after="160"/>
      </w:pPr>
      <w:r>
        <w:rPr>
          <w:rFonts w:ascii="Arial" w:cs="Arial" w:eastAsia="Arial" w:hAnsi="Arial"/>
          <w:b/>
          <w:bCs/>
          <w:color w:val="4A6FA5"/>
          <w:sz w:val="26"/>
          <w:szCs w:val="26"/>
        </w:rPr>
        <w:t xml:space="preserve">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SIL</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Components</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Verification Methods</w:t>
            </w:r>
          </w:p>
        </w:tc>
      </w:tr>
      <w:tr>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SIL-3</w:t>
            </w:r>
          </w:p>
        </w:tc>
        <w:tc>
          <w:tcPr>
            <w:tcW w:type="dxa" w:w="39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Kernel (L1), Sandbox (L7), Egress</w:t>
            </w:r>
          </w:p>
        </w:tc>
        <w:tc>
          <w:tcPr>
            <w:tcW w:type="dxa" w:w="39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TLA+ formal specs, property-based tests (Hypothesis), independent verification, dissimilar verification channel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SIL-2</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Storage, Core (L2), Engine (L3), API/Auth, Observability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tests, property-based tests, code review, architecture fitness functions</w:t>
            </w:r>
          </w:p>
        </w:tc>
      </w:tr>
      <w:tr>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SIL-1</w:t>
            </w:r>
          </w:p>
        </w:tc>
        <w:tc>
          <w:tcPr>
            <w:tcW w:type="dxa" w:w="39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Console (L5), Config</w:t>
            </w:r>
          </w:p>
        </w:tc>
        <w:tc>
          <w:tcPr>
            <w:tcW w:type="dxa" w:w="39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Unit tests, code review</w:t>
            </w:r>
          </w:p>
        </w:tc>
      </w:tr>
    </w:tbl>
    <w:p>
      <w:pPr>
        <w:spacing w:after="80"/>
      </w:pP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SIL assignment matrix with rationale per component</w:t>
      </w:r>
    </w:p>
    <w:p>
      <w:pPr>
        <w:pStyle w:val="ListParagraph"/>
        <w:numPr>
          <w:ilvl w:val="0"/>
          <w:numId w:val="2"/>
        </w:numPr>
        <w:spacing w:after="80" w:line="276"/>
      </w:pPr>
      <w:r>
        <w:rPr>
          <w:rFonts w:ascii="Arial" w:cs="Arial" w:eastAsia="Arial" w:hAnsi="Arial"/>
          <w:color w:val="1A1A1A"/>
          <w:sz w:val="22"/>
          <w:szCs w:val="22"/>
        </w:rPr>
        <w:t xml:space="preserve">Verification method requirements keyed to SIL level</w:t>
      </w:r>
    </w:p>
    <w:p>
      <w:pPr>
        <w:pStyle w:val="Heading1"/>
        <w:spacing w:before="360" w:after="200"/>
      </w:pPr>
      <w:r>
        <w:rPr>
          <w:rFonts w:ascii="Arial" w:cs="Arial" w:eastAsia="Arial" w:hAnsi="Arial"/>
          <w:b/>
          <w:bCs/>
          <w:color w:val="1B3A5C"/>
          <w:sz w:val="32"/>
          <w:szCs w:val="32"/>
        </w:rPr>
        <w:t xml:space="preserve">Step 6. Failure Mode and Effects Analysis (FMEA)</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Systematically enumerate every failure mode for every component, assess its severity and likelihood, identify existing mitigations, and flag residual risk. Focus areas: kernel invariant desynchronization, sandbox escape, egress bypass, goal injection, topology desynchronization, and eigenspectrum blind spots.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The failure analysis research revealed that the original plan assumed correctness: if you build things right, they don’t fail. That assumption is false for multi-agent systems. The 41–87% failure rate statistic comes from systems that were built “correctly” by their developers’ standards but failed under adversarial or unexpected conditions. FMEA forces the team to enumerate how things fail before building, so that mitigations are structural (designed in) rather than reactive (patched after incident).</w:t>
      </w:r>
    </w:p>
    <w:p>
      <w:pPr>
        <w:pStyle w:val="Heading2"/>
        <w:spacing w:before="280" w:after="160"/>
      </w:pPr>
      <w:r>
        <w:rPr>
          <w:rFonts w:ascii="Arial" w:cs="Arial" w:eastAsia="Arial" w:hAnsi="Arial"/>
          <w:b/>
          <w:bCs/>
          <w:color w:val="4A6FA5"/>
          <w:sz w:val="26"/>
          <w:szCs w:val="26"/>
        </w:rPr>
        <w:t xml:space="preserve">Why Not FTA Alone</w:t>
      </w:r>
    </w:p>
    <w:p>
      <w:pPr>
        <w:spacing w:after="160" w:line="276"/>
      </w:pPr>
      <w:r>
        <w:rPr>
          <w:rFonts w:ascii="Arial" w:cs="Arial" w:eastAsia="Arial" w:hAnsi="Arial"/>
          <w:color w:val="1A1A1A"/>
          <w:sz w:val="22"/>
          <w:szCs w:val="22"/>
        </w:rPr>
        <w:t xml:space="preserve">Fault Tree Analysis (FTA) works top-down from a known undesirable event. FMEA works bottom-up from each component. Holly needs both: FTA for known catastrophic events (sandbox escape, data exfiltration), FMEA for systematic component-level enumeration. FMEA is the primary tool because it catches failure modes that FTA misses—the ones you didn’t think to put at the top of a fault tree.</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FMEA worksheet per SIL-3 and SIL-2 component</w:t>
      </w:r>
    </w:p>
    <w:p>
      <w:pPr>
        <w:pStyle w:val="ListParagraph"/>
        <w:numPr>
          <w:ilvl w:val="0"/>
          <w:numId w:val="2"/>
        </w:numPr>
        <w:spacing w:after="80" w:line="276"/>
      </w:pPr>
      <w:r>
        <w:rPr>
          <w:rFonts w:ascii="Arial" w:cs="Arial" w:eastAsia="Arial" w:hAnsi="Arial"/>
          <w:color w:val="1A1A1A"/>
          <w:sz w:val="22"/>
          <w:szCs w:val="22"/>
        </w:rPr>
        <w:t xml:space="preserve">Residual risk register with explicit accept/mitigate decisions</w:t>
      </w:r>
    </w:p>
    <w:p>
      <w:pPr>
        <w:pStyle w:val="ListParagraph"/>
        <w:numPr>
          <w:ilvl w:val="0"/>
          <w:numId w:val="2"/>
        </w:numPr>
        <w:spacing w:after="80" w:line="276"/>
      </w:pPr>
      <w:r>
        <w:rPr>
          <w:rFonts w:ascii="Arial" w:cs="Arial" w:eastAsia="Arial" w:hAnsi="Arial"/>
          <w:color w:val="1A1A1A"/>
          <w:sz w:val="22"/>
          <w:szCs w:val="22"/>
        </w:rPr>
        <w:t xml:space="preserve">Traceability from each failure mode to its test or mitigation (roadmap step 13)</w:t>
      </w:r>
    </w:p>
    <w:p>
      <w:pPr>
        <w:pStyle w:val="Heading1"/>
        <w:spacing w:before="360" w:after="200"/>
      </w:pPr>
      <w:r>
        <w:rPr>
          <w:rFonts w:ascii="Arial" w:cs="Arial" w:eastAsia="Arial" w:hAnsi="Arial"/>
          <w:b/>
          <w:bCs/>
          <w:color w:val="1B3A5C"/>
          <w:sz w:val="32"/>
          <w:szCs w:val="32"/>
        </w:rPr>
        <w:t xml:space="preserve">Step 7. Formal Specification (TLA+)</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Write TLA+ specifications for the kernel invariant state machine and the sandbox isolation protocol. Model-check these specifications to prove that invariant desynchronization and sandbox escape are impossible under the modeled assumptions.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Formal verification exists because testing can only show the presence of bugs, not their absence. For SIL-3 components—where failure means safety breach—“we tested it and it passed” is insufficient. The kernel enforces 8 invariants (K1–K8) on every boundary crossing. A single state where an invariant is not enforced is a vulnerability. TLA+ model-checking exhaustively explores the state space to prove that no such state exists under the modeled assumptions. The assumptions themselves are documented as the model’s scope, making the boundaries of the proof explicit.</w:t>
      </w:r>
    </w:p>
    <w:p>
      <w:pPr>
        <w:pStyle w:val="Heading2"/>
        <w:spacing w:before="280" w:after="160"/>
      </w:pPr>
      <w:r>
        <w:rPr>
          <w:rFonts w:ascii="Arial" w:cs="Arial" w:eastAsia="Arial" w:hAnsi="Arial"/>
          <w:b/>
          <w:bCs/>
          <w:color w:val="4A6FA5"/>
          <w:sz w:val="26"/>
          <w:szCs w:val="26"/>
        </w:rPr>
        <w:t xml:space="preserve">Scope</w:t>
      </w:r>
    </w:p>
    <w:p>
      <w:pPr>
        <w:pStyle w:val="ListParagraph"/>
        <w:numPr>
          <w:ilvl w:val="0"/>
          <w:numId w:val="2"/>
        </w:numPr>
        <w:spacing w:after="80" w:line="276"/>
      </w:pPr>
      <w:r>
        <w:rPr>
          <w:rFonts w:ascii="Arial" w:cs="Arial" w:eastAsia="Arial" w:hAnsi="Arial"/>
          <w:color w:val="1A1A1A"/>
          <w:sz w:val="22"/>
          <w:szCs w:val="22"/>
        </w:rPr>
        <w:t xml:space="preserve">Kernel invariant state machine: all transitions between K1–K8 enforcement states</w:t>
      </w:r>
    </w:p>
    <w:p>
      <w:pPr>
        <w:pStyle w:val="ListParagraph"/>
        <w:numPr>
          <w:ilvl w:val="0"/>
          <w:numId w:val="2"/>
        </w:numPr>
        <w:spacing w:after="80" w:line="276"/>
      </w:pPr>
      <w:r>
        <w:rPr>
          <w:rFonts w:ascii="Arial" w:cs="Arial" w:eastAsia="Arial" w:hAnsi="Arial"/>
          <w:color w:val="1A1A1A"/>
          <w:sz w:val="22"/>
          <w:szCs w:val="22"/>
        </w:rPr>
        <w:t xml:space="preserve">Sandbox isolation: namespace, seccomp, and resource-limit enforcement across container lifecycle</w:t>
      </w:r>
    </w:p>
    <w:p>
      <w:pPr>
        <w:pStyle w:val="ListParagraph"/>
        <w:numPr>
          <w:ilvl w:val="0"/>
          <w:numId w:val="2"/>
        </w:numPr>
        <w:spacing w:after="80" w:line="276"/>
      </w:pPr>
      <w:r>
        <w:rPr>
          <w:rFonts w:ascii="Arial" w:cs="Arial" w:eastAsia="Arial" w:hAnsi="Arial"/>
          <w:color w:val="1A1A1A"/>
          <w:sz w:val="22"/>
          <w:szCs w:val="22"/>
        </w:rPr>
        <w:t xml:space="preserve">Egress filtering: allowlist evaluation, rate limiting, and redaction pipeline</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TLA+ specifications with model-checking results (roadmap step 14)</w:t>
      </w:r>
    </w:p>
    <w:p>
      <w:pPr>
        <w:pStyle w:val="ListParagraph"/>
        <w:numPr>
          <w:ilvl w:val="0"/>
          <w:numId w:val="2"/>
        </w:numPr>
        <w:spacing w:after="80" w:line="276"/>
      </w:pPr>
      <w:r>
        <w:rPr>
          <w:rFonts w:ascii="Arial" w:cs="Arial" w:eastAsia="Arial" w:hAnsi="Arial"/>
          <w:color w:val="1A1A1A"/>
          <w:sz w:val="22"/>
          <w:szCs w:val="22"/>
        </w:rPr>
        <w:t xml:space="preserve">Assumption register documenting what the model does and does not cover</w:t>
      </w:r>
    </w:p>
    <w:p>
      <w:pPr>
        <w:pStyle w:val="Heading1"/>
        <w:spacing w:before="360" w:after="200"/>
      </w:pPr>
      <w:r>
        <w:rPr>
          <w:rFonts w:ascii="Arial" w:cs="Arial" w:eastAsia="Arial" w:hAnsi="Arial"/>
          <w:b/>
          <w:bCs/>
          <w:color w:val="1B3A5C"/>
          <w:sz w:val="32"/>
          <w:szCs w:val="32"/>
        </w:rPr>
        <w:t xml:space="preserve">Step 8. Architecture-as-Code</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Machine-parse the SAD into architecture.yaml. Build a decorator registry (@kernel_boundary, @tenant_scoped, @lane_dispatch, etc.) that stamps every module with its architectural contract. Run AST scanners on every commit to verify that decorators are present and boundary crossings comply with the ICD.</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Architecture erosion is the single most common failure mode in multi-year software projects. It happens incrementally: one developer bypasses a boundary, another copies the pattern, and within months the architecture diagram is fiction. Architecture-as-code prevents this by making the architecture machine-enforceable. The decorator is not documentation—it is a runtime contract that the kernel uses to determine which invariants to enforce on a given boundary crossing. If the decorator is missing, the code doesn’t merge.</w:t>
      </w:r>
    </w:p>
    <w:p>
      <w:pPr>
        <w:pStyle w:val="Heading2"/>
        <w:spacing w:before="280" w:after="160"/>
      </w:pPr>
      <w:r>
        <w:rPr>
          <w:rFonts w:ascii="Arial" w:cs="Arial" w:eastAsia="Arial" w:hAnsi="Arial"/>
          <w:b/>
          <w:bCs/>
          <w:color w:val="4A6FA5"/>
          <w:sz w:val="26"/>
          <w:szCs w:val="26"/>
        </w:rPr>
        <w:t xml:space="preserve">Mechanism</w:t>
      </w:r>
    </w:p>
    <w:p>
      <w:pPr>
        <w:pStyle w:val="ListParagraph"/>
        <w:numPr>
          <w:ilvl w:val="0"/>
          <w:numId w:val="3"/>
        </w:numPr>
        <w:spacing w:after="80" w:line="276"/>
      </w:pPr>
      <w:r>
        <w:rPr>
          <w:rFonts w:ascii="Arial" w:cs="Arial" w:eastAsia="Arial" w:hAnsi="Arial"/>
          <w:b/>
          <w:bCs/>
          <w:color w:val="1A1A1A"/>
          <w:sz w:val="22"/>
          <w:szCs w:val="22"/>
        </w:rPr>
        <w:t xml:space="preserve">Extract: </w:t>
      </w:r>
      <w:r>
        <w:rPr>
          <w:rFonts w:ascii="Arial" w:cs="Arial" w:eastAsia="Arial" w:hAnsi="Arial"/>
          <w:color w:val="1A1A1A"/>
          <w:sz w:val="22"/>
          <w:szCs w:val="22"/>
        </w:rPr>
        <w:t xml:space="preserve">SAD mermaid file is parsed into architecture.yaml (roadmap step 1)</w:t>
      </w:r>
    </w:p>
    <w:p>
      <w:pPr>
        <w:pStyle w:val="ListParagraph"/>
        <w:numPr>
          <w:ilvl w:val="0"/>
          <w:numId w:val="3"/>
        </w:numPr>
        <w:spacing w:after="80" w:line="276"/>
      </w:pPr>
      <w:r>
        <w:rPr>
          <w:rFonts w:ascii="Arial" w:cs="Arial" w:eastAsia="Arial" w:hAnsi="Arial"/>
          <w:b/>
          <w:bCs/>
          <w:color w:val="1A1A1A"/>
          <w:sz w:val="22"/>
          <w:szCs w:val="22"/>
        </w:rPr>
        <w:t xml:space="preserve">Registry: </w:t>
      </w:r>
      <w:r>
        <w:rPr>
          <w:rFonts w:ascii="Arial" w:cs="Arial" w:eastAsia="Arial" w:hAnsi="Arial"/>
          <w:color w:val="1A1A1A"/>
          <w:sz w:val="22"/>
          <w:szCs w:val="22"/>
        </w:rPr>
        <w:t xml:space="preserve">Python singleton loads YAML, exposes component lookups, boundary-crossing rules, and ICD contracts (step 2)</w:t>
      </w:r>
    </w:p>
    <w:p>
      <w:pPr>
        <w:pStyle w:val="ListParagraph"/>
        <w:numPr>
          <w:ilvl w:val="0"/>
          <w:numId w:val="3"/>
        </w:numPr>
        <w:spacing w:after="80" w:line="276"/>
      </w:pPr>
      <w:r>
        <w:rPr>
          <w:rFonts w:ascii="Arial" w:cs="Arial" w:eastAsia="Arial" w:hAnsi="Arial"/>
          <w:b/>
          <w:bCs/>
          <w:color w:val="1A1A1A"/>
          <w:sz w:val="22"/>
          <w:szCs w:val="22"/>
        </w:rPr>
        <w:t xml:space="preserve">Decorators: </w:t>
      </w:r>
      <w:r>
        <w:rPr>
          <w:rFonts w:ascii="Arial" w:cs="Arial" w:eastAsia="Arial" w:hAnsi="Arial"/>
          <w:color w:val="1A1A1A"/>
          <w:sz w:val="22"/>
          <w:szCs w:val="22"/>
        </w:rPr>
        <w:t xml:space="preserve">Each module is stamped with its layer, component, and boundary constraints (step 3)</w:t>
      </w:r>
    </w:p>
    <w:p>
      <w:pPr>
        <w:pStyle w:val="ListParagraph"/>
        <w:numPr>
          <w:ilvl w:val="0"/>
          <w:numId w:val="3"/>
        </w:numPr>
        <w:spacing w:after="80" w:line="276"/>
      </w:pPr>
      <w:r>
        <w:rPr>
          <w:rFonts w:ascii="Arial" w:cs="Arial" w:eastAsia="Arial" w:hAnsi="Arial"/>
          <w:b/>
          <w:bCs/>
          <w:color w:val="1A1A1A"/>
          <w:sz w:val="22"/>
          <w:szCs w:val="22"/>
        </w:rPr>
        <w:t xml:space="preserve">Validation: </w:t>
      </w:r>
      <w:r>
        <w:rPr>
          <w:rFonts w:ascii="Arial" w:cs="Arial" w:eastAsia="Arial" w:hAnsi="Arial"/>
          <w:color w:val="1A1A1A"/>
          <w:sz w:val="22"/>
          <w:szCs w:val="22"/>
        </w:rPr>
        <w:t xml:space="preserve">YAML ↔ SAD drift detection runs on every commit (step 6)</w:t>
      </w:r>
    </w:p>
    <w:p>
      <w:pPr>
        <w:pStyle w:val="ListParagraph"/>
        <w:numPr>
          <w:ilvl w:val="0"/>
          <w:numId w:val="3"/>
        </w:numPr>
        <w:spacing w:after="80" w:line="276"/>
      </w:pPr>
      <w:r>
        <w:rPr>
          <w:rFonts w:ascii="Arial" w:cs="Arial" w:eastAsia="Arial" w:hAnsi="Arial"/>
          <w:b/>
          <w:bCs/>
          <w:color w:val="1A1A1A"/>
          <w:sz w:val="22"/>
          <w:szCs w:val="22"/>
        </w:rPr>
        <w:t xml:space="preserve">Scanning: </w:t>
      </w:r>
      <w:r>
        <w:rPr>
          <w:rFonts w:ascii="Arial" w:cs="Arial" w:eastAsia="Arial" w:hAnsi="Arial"/>
          <w:color w:val="1A1A1A"/>
          <w:sz w:val="22"/>
          <w:szCs w:val="22"/>
        </w:rPr>
        <w:t xml:space="preserve">AST walker flags missing or incorrect decorators (step 7)</w:t>
      </w:r>
    </w:p>
    <w:p>
      <w:pPr>
        <w:pStyle w:val="ListParagraph"/>
        <w:numPr>
          <w:ilvl w:val="0"/>
          <w:numId w:val="3"/>
        </w:numPr>
        <w:spacing w:after="80" w:line="276"/>
      </w:pPr>
      <w:r>
        <w:rPr>
          <w:rFonts w:ascii="Arial" w:cs="Arial" w:eastAsia="Arial" w:hAnsi="Arial"/>
          <w:b/>
          <w:bCs/>
          <w:color w:val="1A1A1A"/>
          <w:sz w:val="22"/>
          <w:szCs w:val="22"/>
        </w:rPr>
        <w:t xml:space="preserve">CI gate: </w:t>
      </w:r>
      <w:r>
        <w:rPr>
          <w:rFonts w:ascii="Arial" w:cs="Arial" w:eastAsia="Arial" w:hAnsi="Arial"/>
          <w:color w:val="1A1A1A"/>
          <w:sz w:val="22"/>
          <w:szCs w:val="22"/>
        </w:rPr>
        <w:t xml:space="preserve">Merge blocked on any drift, decorator, or ICD violation (step 11)</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architecture.yaml derived from SAD</w:t>
      </w:r>
    </w:p>
    <w:p>
      <w:pPr>
        <w:pStyle w:val="ListParagraph"/>
        <w:numPr>
          <w:ilvl w:val="0"/>
          <w:numId w:val="2"/>
        </w:numPr>
        <w:spacing w:after="80" w:line="276"/>
      </w:pPr>
      <w:r>
        <w:rPr>
          <w:rFonts w:ascii="Arial" w:cs="Arial" w:eastAsia="Arial" w:hAnsi="Arial"/>
          <w:color w:val="1A1A1A"/>
          <w:sz w:val="22"/>
          <w:szCs w:val="22"/>
        </w:rPr>
        <w:t xml:space="preserve">Decorator registry with per-component contract definitions</w:t>
      </w:r>
    </w:p>
    <w:p>
      <w:pPr>
        <w:pStyle w:val="ListParagraph"/>
        <w:numPr>
          <w:ilvl w:val="0"/>
          <w:numId w:val="2"/>
        </w:numPr>
        <w:spacing w:after="80" w:line="276"/>
      </w:pPr>
      <w:r>
        <w:rPr>
          <w:rFonts w:ascii="Arial" w:cs="Arial" w:eastAsia="Arial" w:hAnsi="Arial"/>
          <w:color w:val="1A1A1A"/>
          <w:sz w:val="22"/>
          <w:szCs w:val="22"/>
        </w:rPr>
        <w:t xml:space="preserve">AST scanner with CI integration</w:t>
      </w:r>
    </w:p>
    <w:p>
      <w:pPr>
        <w:pStyle w:val="Heading1"/>
        <w:spacing w:before="360" w:after="200"/>
      </w:pPr>
      <w:r>
        <w:rPr>
          <w:rFonts w:ascii="Arial" w:cs="Arial" w:eastAsia="Arial" w:hAnsi="Arial"/>
          <w:b/>
          <w:bCs/>
          <w:color w:val="1B3A5C"/>
          <w:sz w:val="32"/>
          <w:szCs w:val="32"/>
        </w:rPr>
        <w:t xml:space="preserve">Step 9. Traceable Chain</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Enforce an unbroken chain from stakeholder concern → requirement → architecture decision → decorated code → automated test → deployment proof. Auto-generate a living Requirements Traceability Matrix (RTM) from decorator metadata so the chain is always current.</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ISO 15288’s verification process requires that every requirement has a verification artifact. The traceable chain operationalizes this by making every link machine-checkable. If a stakeholder concern exists but has no corresponding requirement, the RTM flags it. If a requirement exists but no decorator implements it, the RTM flags it. If a decorator exists but no test covers it, the RTM flags it. The chain is self-policing: gaps are detected automatically, not discovered during audits months later.</w:t>
      </w:r>
    </w:p>
    <w:p>
      <w:pPr>
        <w:pStyle w:val="Heading2"/>
        <w:spacing w:before="280" w:after="160"/>
      </w:pPr>
      <w:r>
        <w:rPr>
          <w:rFonts w:ascii="Arial" w:cs="Arial" w:eastAsia="Arial" w:hAnsi="Arial"/>
          <w:b/>
          <w:bCs/>
          <w:color w:val="4A6FA5"/>
          <w:sz w:val="26"/>
          <w:szCs w:val="26"/>
        </w:rPr>
        <w:t xml:space="preserve">Chain Links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Link</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Verification</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Concern → Requirement</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Stakeholder interviews, monograph definitions</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RTM completeness 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Requirement → Decision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Architecture Decision Records (ADRs)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ADR-to-requirement cross-reference</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Decision → Code</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Decorator registry</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AST scanner + CI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Code → Test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Test suite mapped to decorators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Coverage analysis keyed to architectural contracts</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Test → Proof</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CI pipeline artifacts</w:t>
            </w:r>
          </w:p>
        </w:tc>
        <w:tc>
          <w:tcPr>
            <w:tcW w:type="dxa" w:w="35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Deployment gate requires all upstream links green</w:t>
            </w:r>
          </w:p>
        </w:tc>
      </w:tr>
    </w:tbl>
    <w:p>
      <w:pPr>
        <w:spacing w:after="80"/>
      </w:pP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Living RTM auto-generated on every commit (roadmap step 10)</w:t>
      </w:r>
    </w:p>
    <w:p>
      <w:pPr>
        <w:pStyle w:val="ListParagraph"/>
        <w:numPr>
          <w:ilvl w:val="0"/>
          <w:numId w:val="2"/>
        </w:numPr>
        <w:spacing w:after="80" w:line="276"/>
      </w:pPr>
      <w:r>
        <w:rPr>
          <w:rFonts w:ascii="Arial" w:cs="Arial" w:eastAsia="Arial" w:hAnsi="Arial"/>
          <w:color w:val="1A1A1A"/>
          <w:sz w:val="22"/>
          <w:szCs w:val="22"/>
        </w:rPr>
        <w:t xml:space="preserve">CI gate that blocks merge on any broken chain link (step 11)</w:t>
      </w:r>
    </w:p>
    <w:p>
      <w:pPr>
        <w:pStyle w:val="Heading1"/>
        <w:spacing w:before="360" w:after="200"/>
      </w:pPr>
      <w:r>
        <w:rPr>
          <w:rFonts w:ascii="Arial" w:cs="Arial" w:eastAsia="Arial" w:hAnsi="Arial"/>
          <w:b/>
          <w:bCs/>
          <w:color w:val="1B3A5C"/>
          <w:sz w:val="32"/>
          <w:szCs w:val="32"/>
        </w:rPr>
        <w:t xml:space="preserve">Step 10. Eval-Driven Development (EDDOps)</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Treat evaluations—not prompts, not code—as the source of truth for AI agent behavior. Version eval suites alongside code. Run them in CI. Block agent merges on behavioral regression.</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OpenAI’s internal methodology provided the critical insight: a prompt is an implementation detail. The eval suite defines what the system should do. When a prompt changes, the question is not “does the code still compile?” but “does the system still satisfy its behavioral specification?” Traditional unit tests check code behavior; evals check agent behavior. The distinction matters because agent behavior emerges from the interaction of prompt, model, tools, and context—no single artifact controls it, so no single artifact’s tests are sufficient.</w:t>
      </w:r>
    </w:p>
    <w:p>
      <w:pPr>
        <w:pStyle w:val="Heading2"/>
        <w:spacing w:before="280" w:after="160"/>
      </w:pPr>
      <w:r>
        <w:rPr>
          <w:rFonts w:ascii="Arial" w:cs="Arial" w:eastAsia="Arial" w:hAnsi="Arial"/>
          <w:b/>
          <w:bCs/>
          <w:color w:val="4A6FA5"/>
          <w:sz w:val="26"/>
          <w:szCs w:val="26"/>
        </w:rPr>
        <w:t xml:space="preserve">Infrastructure</w:t>
      </w:r>
    </w:p>
    <w:p>
      <w:pPr>
        <w:pStyle w:val="ListParagraph"/>
        <w:numPr>
          <w:ilvl w:val="0"/>
          <w:numId w:val="4"/>
        </w:numPr>
        <w:spacing w:after="80" w:line="276"/>
      </w:pPr>
      <w:r>
        <w:rPr>
          <w:rFonts w:ascii="Arial" w:cs="Arial" w:eastAsia="Arial" w:hAnsi="Arial"/>
          <w:b/>
          <w:bCs/>
          <w:color w:val="1A1A1A"/>
          <w:sz w:val="22"/>
          <w:szCs w:val="22"/>
        </w:rPr>
        <w:t xml:space="preserve">Eval framework: </w:t>
      </w:r>
      <w:r>
        <w:rPr>
          <w:rFonts w:ascii="Arial" w:cs="Arial" w:eastAsia="Arial" w:hAnsi="Arial"/>
          <w:color w:val="1A1A1A"/>
          <w:sz w:val="22"/>
          <w:szCs w:val="22"/>
        </w:rPr>
        <w:t xml:space="preserve">Harness, dataset loaders, metric collectors, regression tracker (step 66)</w:t>
      </w:r>
    </w:p>
    <w:p>
      <w:pPr>
        <w:pStyle w:val="ListParagraph"/>
        <w:numPr>
          <w:ilvl w:val="0"/>
          <w:numId w:val="4"/>
        </w:numPr>
        <w:spacing w:after="80" w:line="276"/>
      </w:pPr>
      <w:r>
        <w:rPr>
          <w:rFonts w:ascii="Arial" w:cs="Arial" w:eastAsia="Arial" w:hAnsi="Arial"/>
          <w:b/>
          <w:bCs/>
          <w:color w:val="1A1A1A"/>
          <w:sz w:val="22"/>
          <w:szCs w:val="22"/>
        </w:rPr>
        <w:t xml:space="preserve">Behavioral suites: </w:t>
      </w:r>
      <w:r>
        <w:rPr>
          <w:rFonts w:ascii="Arial" w:cs="Arial" w:eastAsia="Arial" w:hAnsi="Arial"/>
          <w:color w:val="1A1A1A"/>
          <w:sz w:val="22"/>
          <w:szCs w:val="22"/>
        </w:rPr>
        <w:t xml:space="preserve">Per-agent property-based + adversarial eval suites (step 67)</w:t>
      </w:r>
    </w:p>
    <w:p>
      <w:pPr>
        <w:pStyle w:val="ListParagraph"/>
        <w:numPr>
          <w:ilvl w:val="0"/>
          <w:numId w:val="4"/>
        </w:numPr>
        <w:spacing w:after="80" w:line="276"/>
      </w:pPr>
      <w:r>
        <w:rPr>
          <w:rFonts w:ascii="Arial" w:cs="Arial" w:eastAsia="Arial" w:hAnsi="Arial"/>
          <w:b/>
          <w:bCs/>
          <w:color w:val="1A1A1A"/>
          <w:sz w:val="22"/>
          <w:szCs w:val="22"/>
        </w:rPr>
        <w:t xml:space="preserve">Constitution gate: </w:t>
      </w:r>
      <w:r>
        <w:rPr>
          <w:rFonts w:ascii="Arial" w:cs="Arial" w:eastAsia="Arial" w:hAnsi="Arial"/>
          <w:color w:val="1A1A1A"/>
          <w:sz w:val="22"/>
          <w:szCs w:val="22"/>
        </w:rPr>
        <w:t xml:space="preserve">Automated behavioral regression on every constitution or prompt change (step 68)</w:t>
      </w:r>
    </w:p>
    <w:p>
      <w:pPr>
        <w:pStyle w:val="ListParagraph"/>
        <w:numPr>
          <w:ilvl w:val="0"/>
          <w:numId w:val="4"/>
        </w:numPr>
        <w:spacing w:after="80" w:line="276"/>
      </w:pPr>
      <w:r>
        <w:rPr>
          <w:rFonts w:ascii="Arial" w:cs="Arial" w:eastAsia="Arial" w:hAnsi="Arial"/>
          <w:b/>
          <w:bCs/>
          <w:color w:val="1A1A1A"/>
          <w:sz w:val="22"/>
          <w:szCs w:val="22"/>
        </w:rPr>
        <w:t xml:space="preserve">Eval CI: </w:t>
      </w:r>
      <w:r>
        <w:rPr>
          <w:rFonts w:ascii="Arial" w:cs="Arial" w:eastAsia="Arial" w:hAnsi="Arial"/>
          <w:color w:val="1A1A1A"/>
          <w:sz w:val="22"/>
          <w:szCs w:val="22"/>
        </w:rPr>
        <w:t xml:space="preserve">Eval pipeline as CI stage—blocks agent merges on regression (step 69)</w:t>
      </w:r>
    </w:p>
    <w:p>
      <w:pPr>
        <w:pStyle w:val="Heading2"/>
        <w:spacing w:before="280" w:after="160"/>
      </w:pPr>
      <w:r>
        <w:rPr>
          <w:rFonts w:ascii="Arial" w:cs="Arial" w:eastAsia="Arial" w:hAnsi="Arial"/>
          <w:b/>
          <w:bCs/>
          <w:color w:val="4A6FA5"/>
          <w:sz w:val="26"/>
          <w:szCs w:val="26"/>
        </w:rPr>
        <w:t xml:space="preserve">Why Property-Based, Not Example-Based</w:t>
      </w:r>
    </w:p>
    <w:p>
      <w:pPr>
        <w:spacing w:after="160" w:line="276"/>
      </w:pPr>
      <w:r>
        <w:rPr>
          <w:rFonts w:ascii="Arial" w:cs="Arial" w:eastAsia="Arial" w:hAnsi="Arial"/>
          <w:color w:val="1A1A1A"/>
          <w:sz w:val="22"/>
          <w:szCs w:val="22"/>
        </w:rPr>
        <w:t xml:space="preserve">Example-based tests check known inputs against expected outputs. Property-based tests generate random inputs and check invariants. For agent behavior, the space of possible inputs is unbounded—you cannot enumerate every prompt a user might send. Property-based testing (via Hypothesis) generates adversarial inputs that exercise boundary conditions the developer didn’t anticipate. This is why step 8 changed from unit tests to property-based boundary fuzzing.</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Eval framework with dataset loaders and metric collectors</w:t>
      </w:r>
    </w:p>
    <w:p>
      <w:pPr>
        <w:pStyle w:val="ListParagraph"/>
        <w:numPr>
          <w:ilvl w:val="0"/>
          <w:numId w:val="2"/>
        </w:numPr>
        <w:spacing w:after="80" w:line="276"/>
      </w:pPr>
      <w:r>
        <w:rPr>
          <w:rFonts w:ascii="Arial" w:cs="Arial" w:eastAsia="Arial" w:hAnsi="Arial"/>
          <w:color w:val="1A1A1A"/>
          <w:sz w:val="22"/>
          <w:szCs w:val="22"/>
        </w:rPr>
        <w:t xml:space="preserve">Per-agent behavioral eval suites (property-based + adversarial)</w:t>
      </w:r>
    </w:p>
    <w:p>
      <w:pPr>
        <w:pStyle w:val="ListParagraph"/>
        <w:numPr>
          <w:ilvl w:val="0"/>
          <w:numId w:val="2"/>
        </w:numPr>
        <w:spacing w:after="80" w:line="276"/>
      </w:pPr>
      <w:r>
        <w:rPr>
          <w:rFonts w:ascii="Arial" w:cs="Arial" w:eastAsia="Arial" w:hAnsi="Arial"/>
          <w:color w:val="1A1A1A"/>
          <w:sz w:val="22"/>
          <w:szCs w:val="22"/>
        </w:rPr>
        <w:t xml:space="preserve">CI pipeline stage that gates agent merges on eval regression</w:t>
      </w:r>
    </w:p>
    <w:p>
      <w:pPr>
        <w:pStyle w:val="Heading1"/>
        <w:spacing w:before="360" w:after="200"/>
      </w:pPr>
      <w:r>
        <w:rPr>
          <w:rFonts w:ascii="Arial" w:cs="Arial" w:eastAsia="Arial" w:hAnsi="Arial"/>
          <w:b/>
          <w:bCs/>
          <w:color w:val="1B3A5C"/>
          <w:sz w:val="32"/>
          <w:szCs w:val="32"/>
        </w:rPr>
        <w:t xml:space="preserve">Step 11. Constitutional AI as Executable Specification</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Implement Holly’s Celestial goals (L0–L4) as machine-checkable predicates that run in the eval pipeline, not as documentation that developers read and interpret.</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Anthropic’s constitutional AI research demonstrated that safety rules can be formalized as evaluable propositions rather than prose guidelines. Holly’s Celestial hierarchy defines immutable safety constraints: L0 (physical safety), L1 (legal compliance), L2 (ethical boundaries), L3 (permission enforcement), L4 (constitutional rules). If these exist only as documentation, compliance depends on every developer reading and correctly interpreting them. If they exist as executable specs, compliance is verified automatically on every commit.</w:t>
      </w:r>
    </w:p>
    <w:p>
      <w:pPr>
        <w:pStyle w:val="Heading2"/>
        <w:spacing w:before="280" w:after="160"/>
      </w:pPr>
      <w:r>
        <w:rPr>
          <w:rFonts w:ascii="Arial" w:cs="Arial" w:eastAsia="Arial" w:hAnsi="Arial"/>
          <w:b/>
          <w:bCs/>
          <w:color w:val="4A6FA5"/>
          <w:sz w:val="26"/>
          <w:szCs w:val="26"/>
        </w:rPr>
        <w:t xml:space="preserve">Mechanism</w:t>
      </w:r>
    </w:p>
    <w:p>
      <w:pPr>
        <w:spacing w:after="160" w:line="276"/>
      </w:pPr>
      <w:r>
        <w:rPr>
          <w:rFonts w:ascii="Arial" w:cs="Arial" w:eastAsia="Arial" w:hAnsi="Arial"/>
          <w:color w:val="1A1A1A"/>
          <w:sz w:val="22"/>
          <w:szCs w:val="22"/>
        </w:rPr>
        <w:t xml:space="preserve">Each Celestial goal is expressed as a predicate function that takes a system action and returns pass/fail with an explanation. The constitution gate (step 68) runs these predicates against every agent output during eval. A Terrestrial goal (L5–L6) that produces an output violating any Celestial predicate fails the eval, regardless of whether it achieves its stated objective. This is lexicographic gating implemented as code.</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Executable constitution: predicate functions for L0–L4 (roadmap step 65)</w:t>
      </w:r>
    </w:p>
    <w:p>
      <w:pPr>
        <w:pStyle w:val="ListParagraph"/>
        <w:numPr>
          <w:ilvl w:val="0"/>
          <w:numId w:val="2"/>
        </w:numPr>
        <w:spacing w:after="80" w:line="276"/>
      </w:pPr>
      <w:r>
        <w:rPr>
          <w:rFonts w:ascii="Arial" w:cs="Arial" w:eastAsia="Arial" w:hAnsi="Arial"/>
          <w:color w:val="1A1A1A"/>
          <w:sz w:val="22"/>
          <w:szCs w:val="22"/>
        </w:rPr>
        <w:t xml:space="preserve">Constitution gate in CI that blocks on any Celestial violation (step 68)</w:t>
      </w:r>
    </w:p>
    <w:p>
      <w:pPr>
        <w:pStyle w:val="Heading1"/>
        <w:spacing w:before="360" w:after="200"/>
      </w:pPr>
      <w:r>
        <w:rPr>
          <w:rFonts w:ascii="Arial" w:cs="Arial" w:eastAsia="Arial" w:hAnsi="Arial"/>
          <w:b/>
          <w:bCs/>
          <w:color w:val="1B3A5C"/>
          <w:sz w:val="32"/>
          <w:szCs w:val="32"/>
        </w:rPr>
        <w:t xml:space="preserve">Step 12. Defense-in-Depth Safety Architecture</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Layer five independent safety mechanisms so that no single-point failure compromises the system: kernel invariant enforcement, sandbox isolation, egress filtering, eval gating, and human-in-the-loop gates.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Anthropic’s five-layer defense model (training, RLHF, system prompts, monitoring, human oversight) exposed that Holly’s original safety model was single-layer: kernel invariants. If an invariant implementation has a bug, there is no backup. Defense-in-depth ensures that even if one layer fails, others catch the violation. The dissimilar verification step (roadmap step 20) takes this further: the safety check itself must not rely solely on the mechanism it’s checking. An independent verification channel—using a different code path, different data, or different logic—cross-checks the kernel’s enforcement.</w:t>
      </w:r>
    </w:p>
    <w:p>
      <w:pPr>
        <w:pStyle w:val="Heading2"/>
        <w:spacing w:before="280" w:after="160"/>
      </w:pPr>
      <w:r>
        <w:rPr>
          <w:rFonts w:ascii="Arial" w:cs="Arial" w:eastAsia="Arial" w:hAnsi="Arial"/>
          <w:b/>
          <w:bCs/>
          <w:color w:val="4A6FA5"/>
          <w:sz w:val="26"/>
          <w:szCs w:val="26"/>
        </w:rPr>
        <w:t xml:space="preserve">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Mechanism</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Catches</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 Kernel</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K1–K8 invariant enforcement on every boundary crossing</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Schema violations, permission breaches, bounds exceedances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 Sandbox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PID/NET/MNT namespaces, seccomp, resource limits, gVisor/Firecracker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Code execution escape, resource exhaustion, network exfiltration</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3. Egress</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L7 allowlist, payload redaction, rate limiting, L3 NAT routing</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exfiltration, API abuse, sensitive data leakage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 Eval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K8 eval gates, behavioral suites, constitution predicates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Goal injection, constitutional violations, behavioral regression</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5. Human</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K7 HITL gates on low-confidence or high-consequence actions</w:t>
            </w:r>
          </w:p>
        </w:tc>
        <w:tc>
          <w:tcPr>
            <w:tcW w:type="dxa" w:w="37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Edge cases beyond automated detection, novel failure modes</w:t>
            </w:r>
          </w:p>
        </w:tc>
      </w:tr>
    </w:tbl>
    <w:p>
      <w:pPr>
        <w:spacing w:after="80"/>
      </w:pP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Safety case documents (roadmap steps 33, 84): structured arguments in claims → evidence → context format</w:t>
      </w:r>
    </w:p>
    <w:p>
      <w:pPr>
        <w:pStyle w:val="ListParagraph"/>
        <w:numPr>
          <w:ilvl w:val="0"/>
          <w:numId w:val="2"/>
        </w:numPr>
        <w:spacing w:after="80" w:line="276"/>
      </w:pPr>
      <w:r>
        <w:rPr>
          <w:rFonts w:ascii="Arial" w:cs="Arial" w:eastAsia="Arial" w:hAnsi="Arial"/>
          <w:color w:val="1A1A1A"/>
          <w:sz w:val="22"/>
          <w:szCs w:val="22"/>
        </w:rPr>
        <w:t xml:space="preserve">Dissimilar verification channel for kernel checks (step 20)</w:t>
      </w:r>
    </w:p>
    <w:p>
      <w:pPr>
        <w:pStyle w:val="Heading1"/>
        <w:spacing w:before="360" w:after="200"/>
      </w:pPr>
      <w:r>
        <w:rPr>
          <w:rFonts w:ascii="Arial" w:cs="Arial" w:eastAsia="Arial" w:hAnsi="Arial"/>
          <w:b/>
          <w:bCs/>
          <w:color w:val="1B3A5C"/>
          <w:sz w:val="32"/>
          <w:szCs w:val="32"/>
        </w:rPr>
        <w:t xml:space="preserve">Step 13. Spiral Execution with Quality Gates</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Execute the 86-step roadmap in spiral cadence, not waterfall. Build a thin vertical slice first—one kernel invariant enforced through one boundary crossing with one eval gate—to validate the enforcement loop end-to-end before committing to the full build. Each phase ends with an explicit quality gate; no phase starts until its predecessor’s gate passes.</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Three independent research findings converged on the same conclusion. ISO 15288’s lifecycle processes assume iterative refinement, not linear execution. SpaceX’s build-test-build loop validates assumptions early through hardware-in-the-loop testing rather than building the complete vehicle before testing. OpenAI’s staged rollouts validate behavioral properties incrementally. The common insight: you cannot validate an architecture by building it linearly from bottom to top, because the integration assumptions embedded in every component are untested until the components actually integrate.</w:t>
      </w:r>
    </w:p>
    <w:p>
      <w:pPr>
        <w:pStyle w:val="Heading2"/>
        <w:spacing w:before="280" w:after="160"/>
      </w:pPr>
      <w:r>
        <w:rPr>
          <w:rFonts w:ascii="Arial" w:cs="Arial" w:eastAsia="Arial" w:hAnsi="Arial"/>
          <w:b/>
          <w:bCs/>
          <w:color w:val="4A6FA5"/>
          <w:sz w:val="26"/>
          <w:szCs w:val="26"/>
        </w:rPr>
        <w:t xml:space="preserve">Spiral Sequence</w:t>
      </w:r>
    </w:p>
    <w:p>
      <w:pPr>
        <w:pStyle w:val="ListParagraph"/>
        <w:numPr>
          <w:ilvl w:val="0"/>
          <w:numId w:val="5"/>
        </w:numPr>
        <w:spacing w:after="80" w:line="276"/>
      </w:pPr>
      <w:r>
        <w:rPr>
          <w:rFonts w:ascii="Arial" w:cs="Arial" w:eastAsia="Arial" w:hAnsi="Arial"/>
          <w:b/>
          <w:bCs/>
          <w:color w:val="1A1A1A"/>
          <w:sz w:val="22"/>
          <w:szCs w:val="22"/>
        </w:rPr>
        <w:t xml:space="preserve">Phase A, steps 1–3: </w:t>
      </w:r>
      <w:r>
        <w:rPr>
          <w:rFonts w:ascii="Arial" w:cs="Arial" w:eastAsia="Arial" w:hAnsi="Arial"/>
          <w:color w:val="1A1A1A"/>
          <w:sz w:val="22"/>
          <w:szCs w:val="22"/>
        </w:rPr>
        <w:t xml:space="preserve">Extract SAD, build registry, create decorators—the architecture-as-code skeleton</w:t>
      </w:r>
    </w:p>
    <w:p>
      <w:pPr>
        <w:pStyle w:val="ListParagraph"/>
        <w:numPr>
          <w:ilvl w:val="0"/>
          <w:numId w:val="5"/>
        </w:numPr>
        <w:spacing w:after="80" w:line="276"/>
      </w:pPr>
      <w:r>
        <w:rPr>
          <w:rFonts w:ascii="Arial" w:cs="Arial" w:eastAsia="Arial" w:hAnsi="Arial"/>
          <w:b/>
          <w:bCs/>
          <w:color w:val="1A1A1A"/>
          <w:sz w:val="22"/>
          <w:szCs w:val="22"/>
        </w:rPr>
        <w:t xml:space="preserve">Spiral gate (step 3a): </w:t>
      </w:r>
      <w:r>
        <w:rPr>
          <w:rFonts w:ascii="Arial" w:cs="Arial" w:eastAsia="Arial" w:hAnsi="Arial"/>
          <w:color w:val="1A1A1A"/>
          <w:sz w:val="22"/>
          <w:szCs w:val="22"/>
        </w:rPr>
        <w:t xml:space="preserve">Build thin Kernel slice (B.15–B.16), validate enforcement loop e2e</w:t>
      </w:r>
    </w:p>
    <w:p>
      <w:pPr>
        <w:pStyle w:val="ListParagraph"/>
        <w:numPr>
          <w:ilvl w:val="0"/>
          <w:numId w:val="5"/>
        </w:numPr>
        <w:spacing w:after="80" w:line="276"/>
      </w:pPr>
      <w:r>
        <w:rPr>
          <w:rFonts w:ascii="Arial" w:cs="Arial" w:eastAsia="Arial" w:hAnsi="Arial"/>
          <w:b/>
          <w:bCs/>
          <w:color w:val="1A1A1A"/>
          <w:sz w:val="22"/>
          <w:szCs w:val="22"/>
        </w:rPr>
        <w:t xml:space="preserve">Backfill Phase A: </w:t>
      </w:r>
      <w:r>
        <w:rPr>
          <w:rFonts w:ascii="Arial" w:cs="Arial" w:eastAsia="Arial" w:hAnsi="Arial"/>
          <w:color w:val="1A1A1A"/>
          <w:sz w:val="22"/>
          <w:szCs w:val="22"/>
        </w:rPr>
        <w:t xml:space="preserve">Complete scaffold, ICD, ATAM, validation, scanning, testing, fitness functions, RTM, CI gate</w:t>
      </w:r>
    </w:p>
    <w:p>
      <w:pPr>
        <w:pStyle w:val="ListParagraph"/>
        <w:numPr>
          <w:ilvl w:val="0"/>
          <w:numId w:val="5"/>
        </w:numPr>
        <w:spacing w:after="80" w:line="276"/>
      </w:pPr>
      <w:r>
        <w:rPr>
          <w:rFonts w:ascii="Arial" w:cs="Arial" w:eastAsia="Arial" w:hAnsi="Arial"/>
          <w:b/>
          <w:bCs/>
          <w:color w:val="1A1A1A"/>
          <w:sz w:val="22"/>
          <w:szCs w:val="22"/>
        </w:rPr>
        <w:t xml:space="preserve">Phase B forward: </w:t>
      </w:r>
      <w:r>
        <w:rPr>
          <w:rFonts w:ascii="Arial" w:cs="Arial" w:eastAsia="Arial" w:hAnsi="Arial"/>
          <w:color w:val="1A1A1A"/>
          <w:sz w:val="22"/>
          <w:szCs w:val="22"/>
        </w:rPr>
        <w:t xml:space="preserve">Each phase builds on proven infrastructure; each phase gate validates before proceeding</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Phase gate checklists with pass/fail criteria</w:t>
      </w:r>
    </w:p>
    <w:p>
      <w:pPr>
        <w:pStyle w:val="ListParagraph"/>
        <w:numPr>
          <w:ilvl w:val="0"/>
          <w:numId w:val="2"/>
        </w:numPr>
        <w:spacing w:after="80" w:line="276"/>
      </w:pPr>
      <w:r>
        <w:rPr>
          <w:rFonts w:ascii="Arial" w:cs="Arial" w:eastAsia="Arial" w:hAnsi="Arial"/>
          <w:color w:val="1A1A1A"/>
          <w:sz w:val="22"/>
          <w:szCs w:val="22"/>
        </w:rPr>
        <w:t xml:space="preserve">Spiral gate validation report (step 3a output)</w:t>
      </w:r>
    </w:p>
    <w:p>
      <w:pPr>
        <w:pStyle w:val="Heading1"/>
        <w:spacing w:before="360" w:after="200"/>
      </w:pPr>
      <w:r>
        <w:rPr>
          <w:rFonts w:ascii="Arial" w:cs="Arial" w:eastAsia="Arial" w:hAnsi="Arial"/>
          <w:b/>
          <w:bCs/>
          <w:color w:val="1B3A5C"/>
          <w:sz w:val="32"/>
          <w:szCs w:val="32"/>
        </w:rPr>
        <w:t xml:space="preserve">Step 14. Staged Deployment and Release Safety Case</w:t>
      </w:r>
    </w:p>
    <w:p>
      <w:pPr>
        <w:pStyle w:val="Heading2"/>
        <w:spacing w:before="280" w:after="160"/>
      </w:pPr>
      <w:r>
        <w:rPr>
          <w:rFonts w:ascii="Arial" w:cs="Arial" w:eastAsia="Arial" w:hAnsi="Arial"/>
          <w:b/>
          <w:bCs/>
          <w:color w:val="4A6FA5"/>
          <w:sz w:val="26"/>
          <w:szCs w:val="26"/>
        </w:rPr>
        <w:t xml:space="preserve">What</w:t>
      </w:r>
    </w:p>
    <w:p>
      <w:pPr>
        <w:spacing w:after="160" w:line="276"/>
      </w:pPr>
      <w:r>
        <w:rPr>
          <w:rFonts w:ascii="Arial" w:cs="Arial" w:eastAsia="Arial" w:hAnsi="Arial"/>
          <w:color w:val="1A1A1A"/>
          <w:sz w:val="22"/>
          <w:szCs w:val="22"/>
        </w:rPr>
        <w:t xml:space="preserve">Deploy through feature flags, canary releases, and progressive delivery gates. Before final release, produce a complete safety case—a structured argument that every identified risk from FMEA is either mitigated (with evidence) or explicitly accepted.</w:t>
      </w:r>
    </w:p>
    <w:p>
      <w:pPr>
        <w:pStyle w:val="Heading2"/>
        <w:spacing w:before="280" w:after="160"/>
      </w:pPr>
      <w:r>
        <w:rPr>
          <w:rFonts w:ascii="Arial" w:cs="Arial" w:eastAsia="Arial" w:hAnsi="Arial"/>
          <w:b/>
          <w:bCs/>
          <w:color w:val="4A6FA5"/>
          <w:sz w:val="26"/>
          <w:szCs w:val="26"/>
        </w:rPr>
        <w:t xml:space="preserve">Why</w:t>
      </w:r>
    </w:p>
    <w:p>
      <w:pPr>
        <w:spacing w:after="160" w:line="276"/>
      </w:pPr>
      <w:r>
        <w:rPr>
          <w:rFonts w:ascii="Arial" w:cs="Arial" w:eastAsia="Arial" w:hAnsi="Arial"/>
          <w:color w:val="1A1A1A"/>
          <w:sz w:val="22"/>
          <w:szCs w:val="22"/>
        </w:rPr>
        <w:t xml:space="preserve">OpenAI’s staged rollout methodology demonstrated that behavioral changes in AI systems should propagate incrementally, not atomically. A canary deployment exposes the new behavior to a small fraction of traffic; if eval metrics degrade, the rollout halts automatically. The release safety case (roadmap step 84) is the capstone of the entire methodology: it aggregates every artifact produced by steps 1–13 into a single auditable argument that the system is safe to operate. If any link in the traceable chain is broken—a requirement without a test, a failure mode without a mitigation, a component without its SIL-appropriate verification—the safety case is incomplete and release is blocked.</w:t>
      </w:r>
    </w:p>
    <w:p>
      <w:pPr>
        <w:pStyle w:val="Heading2"/>
        <w:spacing w:before="280" w:after="160"/>
      </w:pPr>
      <w:r>
        <w:rPr>
          <w:rFonts w:ascii="Arial" w:cs="Arial" w:eastAsia="Arial" w:hAnsi="Arial"/>
          <w:b/>
          <w:bCs/>
          <w:color w:val="4A6FA5"/>
          <w:sz w:val="26"/>
          <w:szCs w:val="26"/>
        </w:rPr>
        <w:t xml:space="preserve">Mechanism</w:t>
      </w:r>
    </w:p>
    <w:p>
      <w:pPr>
        <w:pStyle w:val="ListParagraph"/>
        <w:numPr>
          <w:ilvl w:val="0"/>
          <w:numId w:val="2"/>
        </w:numPr>
        <w:spacing w:after="80" w:line="276"/>
      </w:pPr>
      <w:r>
        <w:rPr>
          <w:rFonts w:ascii="Arial" w:cs="Arial" w:eastAsia="Arial" w:hAnsi="Arial"/>
          <w:color w:val="1A1A1A"/>
          <w:sz w:val="22"/>
          <w:szCs w:val="22"/>
        </w:rPr>
        <w:t xml:space="preserve">Feature flags gate behavioral changes at runtime (roadmap step 82)</w:t>
      </w:r>
    </w:p>
    <w:p>
      <w:pPr>
        <w:pStyle w:val="ListParagraph"/>
        <w:numPr>
          <w:ilvl w:val="0"/>
          <w:numId w:val="2"/>
        </w:numPr>
        <w:spacing w:after="80" w:line="276"/>
      </w:pPr>
      <w:r>
        <w:rPr>
          <w:rFonts w:ascii="Arial" w:cs="Arial" w:eastAsia="Arial" w:hAnsi="Arial"/>
          <w:color w:val="1A1A1A"/>
          <w:sz w:val="22"/>
          <w:szCs w:val="22"/>
        </w:rPr>
        <w:t xml:space="preserve">Canary deploys expose changes to controlled traffic fractions</w:t>
      </w:r>
    </w:p>
    <w:p>
      <w:pPr>
        <w:pStyle w:val="ListParagraph"/>
        <w:numPr>
          <w:ilvl w:val="0"/>
          <w:numId w:val="2"/>
        </w:numPr>
        <w:spacing w:after="80" w:line="276"/>
      </w:pPr>
      <w:r>
        <w:rPr>
          <w:rFonts w:ascii="Arial" w:cs="Arial" w:eastAsia="Arial" w:hAnsi="Arial"/>
          <w:color w:val="1A1A1A"/>
          <w:sz w:val="22"/>
          <w:szCs w:val="22"/>
        </w:rPr>
        <w:t xml:space="preserve">Progressive delivery gates promote from canary → partial → full based on eval metrics</w:t>
      </w:r>
    </w:p>
    <w:p>
      <w:pPr>
        <w:pStyle w:val="ListParagraph"/>
        <w:numPr>
          <w:ilvl w:val="0"/>
          <w:numId w:val="2"/>
        </w:numPr>
        <w:spacing w:after="80" w:line="276"/>
      </w:pPr>
      <w:r>
        <w:rPr>
          <w:rFonts w:ascii="Arial" w:cs="Arial" w:eastAsia="Arial" w:hAnsi="Arial"/>
          <w:color w:val="1A1A1A"/>
          <w:sz w:val="22"/>
          <w:szCs w:val="22"/>
        </w:rPr>
        <w:t xml:space="preserve">Release safety case aggregates FMEA, TLA+ results, RTM, eval results, and SIL verification into claims → evidence → context (step 84)</w:t>
      </w:r>
    </w:p>
    <w:p>
      <w:pPr>
        <w:pStyle w:val="Heading2"/>
        <w:spacing w:before="280" w:after="160"/>
      </w:pPr>
      <w:r>
        <w:rPr>
          <w:rFonts w:ascii="Arial" w:cs="Arial" w:eastAsia="Arial" w:hAnsi="Arial"/>
          <w:b/>
          <w:bCs/>
          <w:color w:val="4A6FA5"/>
          <w:sz w:val="26"/>
          <w:szCs w:val="26"/>
        </w:rPr>
        <w:t xml:space="preserve">Artifact</w:t>
      </w:r>
    </w:p>
    <w:p>
      <w:pPr>
        <w:pStyle w:val="ListParagraph"/>
        <w:numPr>
          <w:ilvl w:val="0"/>
          <w:numId w:val="2"/>
        </w:numPr>
        <w:spacing w:after="80" w:line="276"/>
      </w:pPr>
      <w:r>
        <w:rPr>
          <w:rFonts w:ascii="Arial" w:cs="Arial" w:eastAsia="Arial" w:hAnsi="Arial"/>
          <w:color w:val="1A1A1A"/>
          <w:sz w:val="22"/>
          <w:szCs w:val="22"/>
        </w:rPr>
        <w:t xml:space="preserve">Deployment pipeline with feature flag and canary infrastructure</w:t>
      </w:r>
    </w:p>
    <w:p>
      <w:pPr>
        <w:pStyle w:val="ListParagraph"/>
        <w:numPr>
          <w:ilvl w:val="0"/>
          <w:numId w:val="2"/>
        </w:numPr>
        <w:spacing w:after="80" w:line="276"/>
      </w:pPr>
      <w:r>
        <w:rPr>
          <w:rFonts w:ascii="Arial" w:cs="Arial" w:eastAsia="Arial" w:hAnsi="Arial"/>
          <w:color w:val="1A1A1A"/>
          <w:sz w:val="22"/>
          <w:szCs w:val="22"/>
        </w:rPr>
        <w:t xml:space="preserve">Release safety case document</w:t>
      </w:r>
    </w:p>
    <w:p>
      <w:r>
        <w:br w:type="page"/>
      </w:r>
    </w:p>
    <w:p>
      <w:pPr>
        <w:pStyle w:val="Heading1"/>
        <w:spacing w:before="360" w:after="200"/>
      </w:pPr>
      <w:r>
        <w:rPr>
          <w:rFonts w:ascii="Arial" w:cs="Arial" w:eastAsia="Arial" w:hAnsi="Arial"/>
          <w:b/>
          <w:bCs/>
          <w:color w:val="1B3A5C"/>
          <w:sz w:val="32"/>
          <w:szCs w:val="32"/>
        </w:rPr>
        <w:t xml:space="preserve">Summary: The Closed Loop</w:t>
      </w:r>
    </w:p>
    <w:p>
      <w:pPr>
        <w:spacing w:after="160" w:line="276"/>
      </w:pPr>
      <w:r>
        <w:rPr>
          <w:rFonts w:ascii="Arial" w:cs="Arial" w:eastAsia="Arial" w:hAnsi="Arial"/>
          <w:color w:val="1A1A1A"/>
          <w:sz w:val="22"/>
          <w:szCs w:val="22"/>
        </w:rPr>
        <w:t xml:space="preserve">The fourteen steps form a closed verification loop. The ontological foundation (Step 1) defines terms. The ISO standards (Steps 2–4) provide the framework for describing, qualifying, and verifying the architecture. SIL mapping (Step 5) allocates rigor. FMEA (Step 6) enumerates failure modes. Formal specs (Step 7) prove critical properties. Architecture-as-code (Step 8) makes the architecture enforceable. The traceable chain (Step 9) ensures nothing falls through the cracks. EDDOps (Step 10) governs agent behavior. Constitutional AI (Step 11) makes safety rules executable. Defense-in-depth (Step 12) ensures no single-point failure. Spiral execution (Step 13) validates early. Staged deployment (Step 14) validates incrementally and produces the release safety case.</w:t>
      </w:r>
    </w:p>
    <w:p>
      <w:pPr>
        <w:spacing w:after="160" w:line="276"/>
      </w:pPr>
      <w:r>
        <w:rPr>
          <w:rFonts w:ascii="Arial" w:cs="Arial" w:eastAsia="Arial" w:hAnsi="Arial"/>
          <w:color w:val="1A1A1A"/>
          <w:sz w:val="22"/>
          <w:szCs w:val="22"/>
        </w:rPr>
        <w:t xml:space="preserve">Every artifact produced by one step is consumed by at least one other. The RTM (Step 9) consumes decorator metadata from Step 8 and feeds the CI gate that blocks merges. The FMEA (Step 6) feeds the TLA+ scope in Step 7 and the release safety case in Step 14. The eval suites (Step 10) enforce the constitutional predicates from Step 11. The SIL assignments from Step 5 determine which verification methods from Steps 7–8 apply to which components. Nothing is standalone; the methodology is a system, not a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30"/>
        <w:gridCol w:w="253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Name</w:t>
            </w:r>
          </w:p>
        </w:tc>
        <w:tc>
          <w:tcPr>
            <w:tcW w:type="dxa" w:w="25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Research Driver</w:t>
            </w:r>
          </w:p>
        </w:tc>
        <w:tc>
          <w:tcPr>
            <w:tcW w:type="dxa" w:w="25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Roadmap Steps</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Ontological Foundation</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Allen (2026) monograph</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Architecture Description (42010)</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ISO sweep</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 5, 5a</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Quality Model (25010)</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ISO sweep</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5, 5a, 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Lifecycle Processes (15288/12207)</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ISO sweep</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10, 11</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Criticality Classification (SIL)</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SpaceX model</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12, 21, 50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Failure Analysis (FMEA)</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Failure analysis research</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13</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7</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Formal Specification (TLA+)</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Failure analysis research</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Architecture-as-Code</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Fitness functions research</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1–7, 9, 11</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9</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Traceable Chain</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ISO 15288</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10, 11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EDDOps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OpenAI methodology</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66–69</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11</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Constitutional AI as Exec Spec</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Anthropic safety arch</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65, 68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Defense-in-Depth</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Anthropic safety arch</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20, 33, 84</w:t>
            </w:r>
          </w:p>
        </w:tc>
      </w:tr>
      <w:tr>
        <w:tc>
          <w:tcPr>
            <w:tcW w:type="dxa" w:w="9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13</w:t>
            </w:r>
          </w:p>
        </w:tc>
        <w:tc>
          <w:tcPr>
            <w:tcW w:type="dxa" w:w="3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Spiral Execution</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ISO + SpaceX + OpenAI</w:t>
            </w:r>
          </w:p>
        </w:tc>
        <w:tc>
          <w:tcPr>
            <w:tcW w:type="dxa" w:w="253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spacing w:after="40"/>
            </w:pPr>
            <w:r>
              <w:rPr>
                <w:rFonts w:ascii="Arial" w:cs="Arial" w:eastAsia="Arial" w:hAnsi="Arial"/>
                <w:color w:val="1A1A1A"/>
                <w:sz w:val="20"/>
                <w:szCs w:val="20"/>
              </w:rPr>
              <w:t xml:space="preserve">3a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Staged Deployment</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OpenAI methodology</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82, 84</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1" w:space="4"/>
      </w:pBdr>
      <w:tabs>
        <w:tab w:val="right" w:pos="9026"/>
      </w:tabs>
      <w:spacing w:after="0"/>
    </w:pPr>
    <w:r>
      <w:rPr>
        <w:rFonts w:ascii="Arial" w:cs="Arial" w:eastAsia="Arial" w:hAnsi="Arial"/>
        <w:color w:val="666666"/>
        <w:sz w:val="18"/>
        <w:szCs w:val="18"/>
      </w:rPr>
      <w:t xml:space="preserve">Holly Grace — Design Methodology</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2026-02-17T20:38:04.889Z</dcterms:created>
  <dcterms:modified xsi:type="dcterms:W3CDTF">2026-02-17T20:38:04.889Z</dcterms:modified>
</cp:coreProperties>
</file>

<file path=docProps/custom.xml><?xml version="1.0" encoding="utf-8"?>
<Properties xmlns="http://schemas.openxmlformats.org/officeDocument/2006/custom-properties" xmlns:vt="http://schemas.openxmlformats.org/officeDocument/2006/docPropsVTypes"/>
</file>