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  <w:sz w:val="21"/>
        </w:rPr>
        <w:t>题库维护标准模板（DOCX）</w:t>
      </w:r>
    </w:p>
    <w:p>
      <w:r>
        <w:rPr>
          <w:rFonts w:ascii="Arial" w:hAnsi="Arial"/>
          <w:sz w:val="21"/>
        </w:rPr>
        <w:t>用途：按统一标签维护真题、套题、分值、评分标准和真实考试体系分类，方便脚本稳定抽取为 JSON/XLSX 并导入题库。</w:t>
      </w:r>
    </w:p>
    <w:p>
      <w:pPr>
        <w:pStyle w:val="Heading2"/>
      </w:pPr>
      <w:r>
        <w:rPr>
          <w:rFonts w:ascii="Arial" w:hAnsi="Arial"/>
          <w:sz w:val="21"/>
        </w:rPr>
        <w:t>一、填写规则</w:t>
      </w:r>
    </w:p>
    <w:p>
      <w:pPr>
        <w:pStyle w:val="ListBullet"/>
      </w:pPr>
      <w:r>
        <w:rPr>
          <w:rFonts w:ascii="Arial" w:hAnsi="Arial"/>
          <w:sz w:val="21"/>
        </w:rPr>
        <w:t>真实套题标题必须单独成行，并放在本套题第一道题号前；脚本会优先提取该行作为 suiteName。</w:t>
      </w:r>
    </w:p>
    <w:p>
      <w:pPr>
        <w:pStyle w:val="ListBullet"/>
      </w:pPr>
      <w:r>
        <w:rPr>
          <w:rFonts w:ascii="Arial" w:hAnsi="Arial"/>
          <w:sz w:val="21"/>
        </w:rPr>
        <w:t>套题标题建议使用“2025年7月5日江苏省连云港市连云区事业单位面试题”这类真实中文标题。</w:t>
      </w:r>
    </w:p>
    <w:p>
      <w:pPr>
        <w:pStyle w:val="ListBullet"/>
      </w:pPr>
      <w:r>
        <w:rPr>
          <w:rFonts w:ascii="Arial" w:hAnsi="Arial"/>
          <w:sz w:val="21"/>
        </w:rPr>
        <w:t>先填考试大类，再填地区/系统/招录类型，再填单位/岗位类别/专业方向，最后填面试形式/题量时间/真实套题。</w:t>
      </w:r>
    </w:p>
    <w:p>
      <w:pPr>
        <w:pStyle w:val="ListBullet"/>
      </w:pPr>
      <w:r>
        <w:rPr>
          <w:rFonts w:ascii="Arial" w:hAnsi="Arial"/>
          <w:sz w:val="21"/>
        </w:rPr>
        <w:t>综合分析、组织管理、应急应变、人际沟通、情景模拟、岗位认知是题型维度，只能写入 questionTypeCategory，不得写成 examCategory。</w:t>
      </w:r>
    </w:p>
    <w:p>
      <w:r>
        <w:rPr>
          <w:rFonts w:ascii="Arial" w:hAnsi="Arial"/>
          <w:sz w:val="21"/>
        </w:rPr>
        <w:t>examCategory 是真实题源主分类，必须由真实套题标题、原始章节标题、已有元数据、题干明确系统或来源文件共同确定；不得用特色展示入口倒推真实主分类。</w:t>
      </w:r>
    </w:p>
    <w:p>
      <w:r>
        <w:rPr>
          <w:rFonts w:ascii="Arial" w:hAnsi="Arial"/>
          <w:sz w:val="21"/>
        </w:rPr>
        <w:t>portalTags/displayPortals 是产品特色展示入口，只用于银行招考面试、医疗卫生面试、法检书记员面试等入口展示；除非真实来源确属该考试，否则不得覆盖 examCategory。</w:t>
      </w:r>
    </w:p>
    <w:p>
      <w:r>
        <w:rPr>
          <w:rFonts w:ascii="Arial" w:hAnsi="Arial"/>
          <w:sz w:val="21"/>
        </w:rPr>
        <w:t>江苏 A/B/C/D/E 类只用于真实来源为江苏省公务员考试的题目；江苏事业单位、安徽公务员、湖南公务员不得套用这些类别。</w:t>
      </w:r>
    </w:p>
    <w:p>
      <w:pPr>
        <w:pStyle w:val="ListBullet"/>
      </w:pPr>
      <w:r>
        <w:rPr>
          <w:rFonts w:ascii="Arial" w:hAnsi="Arial"/>
          <w:sz w:val="21"/>
        </w:rPr>
        <w:t>同一套题内 suiteId/suiteKey 保持一致，questionNo 从 1 开始连续递增。</w:t>
      </w:r>
    </w:p>
    <w:p>
      <w:pPr>
        <w:pStyle w:val="ListBullet"/>
      </w:pPr>
      <w:r>
        <w:rPr>
          <w:rFonts w:ascii="Arial" w:hAnsi="Arial"/>
          <w:sz w:val="21"/>
        </w:rPr>
        <w:t>每题必须写明题号、题序、题目满分、题干、评分维度或评分细则。</w:t>
      </w:r>
    </w:p>
    <w:p>
      <w:pPr>
        <w:pStyle w:val="ListBullet"/>
      </w:pPr>
      <w:r>
        <w:rPr>
          <w:rFonts w:ascii="Arial" w:hAnsi="Arial"/>
          <w:sz w:val="21"/>
        </w:rPr>
        <w:t>无仪态分时写 hasAppearanceScore=false、appearanceScore=0；不确定时 reviewStatus=待确认。</w:t>
      </w:r>
    </w:p>
    <w:p>
      <w:pPr>
        <w:pStyle w:val="ListBullet"/>
      </w:pPr>
      <w:r>
        <w:rPr>
          <w:rFonts w:ascii="Arial" w:hAnsi="Arial"/>
          <w:sz w:val="21"/>
        </w:rPr>
        <w:t>无法识别四级层级、来源冲突、手写资料不清或字段缺失时，不要猜测，写 classificationConfidence=low、reviewStatus=需人工复核，并填写 reviewReason。</w:t>
      </w:r>
    </w:p>
    <w:p>
      <w:pPr>
        <w:pStyle w:val="Heading2"/>
      </w:pPr>
      <w:r>
        <w:rPr>
          <w:rFonts w:ascii="Arial" w:hAnsi="Arial"/>
          <w:sz w:val="21"/>
        </w:rPr>
        <w:t>二、字段表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字段</w:t>
            </w:r>
          </w:p>
        </w:tc>
        <w:tc>
          <w:tcPr>
            <w:tcW w:type="dxa" w:w="2880"/>
          </w:tcPr>
          <w:p>
            <w:r>
              <w:t>必填级别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suiteId / suiteKey</w:t>
            </w:r>
          </w:p>
        </w:tc>
        <w:tc>
          <w:tcPr>
            <w:tcW w:type="dxa" w:w="2880"/>
          </w:tcPr>
          <w:p>
            <w:r>
              <w:t>必填</w:t>
            </w:r>
          </w:p>
        </w:tc>
        <w:tc>
          <w:tcPr>
            <w:tcW w:type="dxa" w:w="2880"/>
          </w:tcPr>
          <w:p>
            <w:r>
              <w:t>整套试卷稳定 ID / 分组键，同套题一致。</w:t>
            </w:r>
          </w:p>
        </w:tc>
      </w:tr>
      <w:tr>
        <w:tc>
          <w:tcPr>
            <w:tcW w:type="dxa" w:w="2880"/>
          </w:tcPr>
          <w:p>
            <w:r>
              <w:t>suiteName</w:t>
            </w:r>
          </w:p>
        </w:tc>
        <w:tc>
          <w:tcPr>
            <w:tcW w:type="dxa" w:w="2880"/>
          </w:tcPr>
          <w:p>
            <w:r>
              <w:t>必填</w:t>
            </w:r>
          </w:p>
        </w:tc>
        <w:tc>
          <w:tcPr>
            <w:tcW w:type="dxa" w:w="2880"/>
          </w:tcPr>
          <w:p>
            <w:r>
              <w:t>真实中文套题名，优先来自第一道题号前的独立标题行。</w:t>
            </w:r>
          </w:p>
        </w:tc>
      </w:tr>
      <w:tr>
        <w:tc>
          <w:tcPr>
            <w:tcW w:type="dxa" w:w="2880"/>
          </w:tcPr>
          <w:p>
            <w:r>
              <w:t>examDate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YYYY-MM-DD；脚本也会从中文标题或题号日期推断。</w:t>
            </w:r>
          </w:p>
        </w:tc>
      </w:tr>
      <w:tr>
        <w:tc>
          <w:tcPr>
            <w:tcW w:type="dxa" w:w="2880"/>
          </w:tcPr>
          <w:p>
            <w:r>
              <w:t>examCategory</w:t>
            </w:r>
          </w:p>
        </w:tc>
        <w:tc>
          <w:tcPr>
            <w:tcW w:type="dxa" w:w="2880"/>
          </w:tcPr>
          <w:p>
            <w:r>
              <w:t>必填</w:t>
            </w:r>
          </w:p>
        </w:tc>
        <w:tc>
          <w:tcPr>
            <w:tcW w:type="dxa" w:w="2880"/>
          </w:tcPr>
          <w:p>
            <w:r>
              <w:t>真实题源主分类：国家公务员考试、省级公务员考试、事业单位考试、银行招考面试、医疗卫生面试、法检书记员面试。特色入口不得覆盖该字段。</w:t>
            </w:r>
          </w:p>
        </w:tc>
      </w:tr>
      <w:tr>
        <w:tc>
          <w:tcPr>
            <w:tcW w:type="dxa" w:w="2880"/>
          </w:tcPr>
          <w:p>
            <w:r>
              <w:t>examSubcategory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二级地区/系统/招录类型，如安徽省、中央国家行政机关、法院系统。</w:t>
            </w:r>
          </w:p>
        </w:tc>
      </w:tr>
      <w:tr>
        <w:tc>
          <w:tcPr>
            <w:tcW w:type="dxa" w:w="2880"/>
          </w:tcPr>
          <w:p>
            <w:r>
              <w:t>province / city / district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地区字段分开填写，不要把系统、岗位或题型写入地区。</w:t>
            </w:r>
          </w:p>
        </w:tc>
      </w:tr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税务、海关、公安、法院、检察、银行、医疗卫生等系统或行业。</w:t>
            </w:r>
          </w:p>
        </w:tc>
      </w:tr>
      <w:tr>
        <w:tc>
          <w:tcPr>
            <w:tcW w:type="dxa" w:w="2880"/>
          </w:tcPr>
          <w:p>
            <w:r>
              <w:t>agency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具体机关、单位、医院或银行名称。</w:t>
            </w:r>
          </w:p>
        </w:tc>
      </w:tr>
      <w:tr>
        <w:tc>
          <w:tcPr>
            <w:tcW w:type="dxa" w:w="2880"/>
          </w:tcPr>
          <w:p>
            <w:r>
              <w:t>positionType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岗位类别按真实来源填写。江苏 A/B/C/D/E 类仅限江苏省公务员考试真实来源。</w:t>
            </w:r>
          </w:p>
        </w:tc>
      </w:tr>
      <w:tr>
        <w:tc>
          <w:tcPr>
            <w:tcW w:type="dxa" w:w="2880"/>
          </w:tcPr>
          <w:p>
            <w:r>
              <w:t>jobLevel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中央机关、省直、市属、县乡、乡镇基层等。</w:t>
            </w:r>
          </w:p>
        </w:tc>
      </w:tr>
      <w:tr>
        <w:tc>
          <w:tcPr>
            <w:tcW w:type="dxa" w:w="2880"/>
          </w:tcPr>
          <w:p>
            <w:r>
              <w:t>interviewFormat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结构化、结构化小组、结构化+追问、专业答辩、病例分析等。</w:t>
            </w:r>
          </w:p>
        </w:tc>
      </w:tr>
      <w:tr>
        <w:tc>
          <w:tcPr>
            <w:tcW w:type="dxa" w:w="2880"/>
          </w:tcPr>
          <w:p>
            <w:r>
              <w:t>questionTypeCategory</w:t>
            </w:r>
          </w:p>
        </w:tc>
        <w:tc>
          <w:tcPr>
            <w:tcW w:type="dxa" w:w="2880"/>
          </w:tcPr>
          <w:p>
            <w:r>
              <w:t>必填</w:t>
            </w:r>
          </w:p>
        </w:tc>
        <w:tc>
          <w:tcPr>
            <w:tcW w:type="dxa" w:w="2880"/>
          </w:tcPr>
          <w:p>
            <w:r>
              <w:t>题型维度，只填综合分析、组织管理、应急应变、人际沟通、情景模拟、岗位认知等。</w:t>
            </w:r>
          </w:p>
        </w:tc>
      </w:tr>
      <w:tr>
        <w:tc>
          <w:tcPr>
            <w:tcW w:type="dxa" w:w="2880"/>
          </w:tcPr>
          <w:p>
            <w:r>
              <w:t>classificationConfidence / reviewStatus / reviewReason</w:t>
            </w:r>
          </w:p>
        </w:tc>
        <w:tc>
          <w:tcPr>
            <w:tcW w:type="dxa" w:w="2880"/>
          </w:tcPr>
          <w:p>
            <w:r>
              <w:t>必填/按需</w:t>
            </w:r>
          </w:p>
        </w:tc>
        <w:tc>
          <w:tcPr>
            <w:tcW w:type="dxa" w:w="2880"/>
          </w:tcPr>
          <w:p>
            <w:r>
              <w:t>分类置信度与人工复核状态；不确定必须说明原因。</w:t>
            </w:r>
          </w:p>
        </w:tc>
      </w:tr>
      <w:tr>
        <w:tc>
          <w:tcPr>
            <w:tcW w:type="dxa" w:w="2880"/>
          </w:tcPr>
          <w:p>
            <w:r>
              <w:t>questionNo</w:t>
            </w:r>
          </w:p>
        </w:tc>
        <w:tc>
          <w:tcPr>
            <w:tcW w:type="dxa" w:w="2880"/>
          </w:tcPr>
          <w:p>
            <w:r>
              <w:t>必填</w:t>
            </w:r>
          </w:p>
        </w:tc>
        <w:tc>
          <w:tcPr>
            <w:tcW w:type="dxa" w:w="2880"/>
          </w:tcPr>
          <w:p>
            <w:r>
              <w:t>套题内题序，从 1 开始。</w:t>
            </w:r>
          </w:p>
        </w:tc>
      </w:tr>
      <w:tr>
        <w:tc>
          <w:tcPr>
            <w:tcW w:type="dxa" w:w="2880"/>
          </w:tcPr>
          <w:p>
            <w:r>
              <w:t>questionScore / fullScore</w:t>
            </w:r>
          </w:p>
        </w:tc>
        <w:tc>
          <w:tcPr>
            <w:tcW w:type="dxa" w:w="2880"/>
          </w:tcPr>
          <w:p>
            <w:r>
              <w:t>必填</w:t>
            </w:r>
          </w:p>
        </w:tc>
        <w:tc>
          <w:tcPr>
            <w:tcW w:type="dxa" w:w="2880"/>
          </w:tcPr>
          <w:p>
            <w:r>
              <w:t>本题满分。</w:t>
            </w:r>
          </w:p>
        </w:tc>
      </w:tr>
      <w:tr>
        <w:tc>
          <w:tcPr>
            <w:tcW w:type="dxa" w:w="2880"/>
          </w:tcPr>
          <w:p>
            <w:r>
              <w:t>answerScoreTotal / appearanceScore / suiteTotalScore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整套答题分、仪态分、总分。</w:t>
            </w:r>
          </w:p>
        </w:tc>
      </w:tr>
      <w:tr>
        <w:tc>
          <w:tcPr>
            <w:tcW w:type="dxa" w:w="2880"/>
          </w:tcPr>
          <w:p>
            <w:r>
              <w:t>prepTime / answerTime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备考和作答秒数。</w:t>
            </w:r>
          </w:p>
        </w:tc>
      </w:tr>
      <w:tr>
        <w:tc>
          <w:tcPr>
            <w:tcW w:type="dxa" w:w="2880"/>
          </w:tcPr>
          <w:p>
            <w:r>
              <w:t>sourceDocument / sourcePage / notes</w:t>
            </w:r>
          </w:p>
        </w:tc>
        <w:tc>
          <w:tcPr>
            <w:tcW w:type="dxa" w:w="2880"/>
          </w:tcPr>
          <w:p>
            <w:r>
              <w:t>建议</w:t>
            </w:r>
          </w:p>
        </w:tc>
        <w:tc>
          <w:tcPr>
            <w:tcW w:type="dxa" w:w="2880"/>
          </w:tcPr>
          <w:p>
            <w:r>
              <w:t>来源文件、页码或维护备注。</w:t>
            </w:r>
          </w:p>
        </w:tc>
      </w:tr>
      <w:tr>
        <w:tc>
          <w:tcPr>
            <w:tcW w:type="dxa" w:w="2880"/>
          </w:tcPr>
          <w:p>
            <w:r>
              <w:t>portalTags / displayPortals</w:t>
            </w:r>
          </w:p>
        </w:tc>
        <w:tc>
          <w:tcPr>
            <w:tcW w:type="dxa" w:w="2880"/>
          </w:tcPr>
          <w:p>
            <w:r>
              <w:t>可选</w:t>
            </w:r>
          </w:p>
        </w:tc>
        <w:tc>
          <w:tcPr>
            <w:tcW w:type="dxa" w:w="2880"/>
          </w:tcPr>
          <w:p>
            <w:r>
              <w:t>特色展示入口标签，如医疗卫生面试、银行招考面试、法检书记员面试。仅用于入口展示，不改变真实题源分类。</w:t>
            </w:r>
          </w:p>
        </w:tc>
      </w:tr>
    </w:tbl>
    <w:p>
      <w:pPr>
        <w:pStyle w:val="Heading2"/>
      </w:pPr>
      <w:r>
        <w:rPr>
          <w:rFonts w:ascii="Arial" w:hAnsi="Arial"/>
          <w:sz w:val="21"/>
        </w:rPr>
        <w:t>三、标准块模板</w:t>
      </w:r>
    </w:p>
    <w:p>
      <w:r>
        <w:rPr>
          <w:rFonts w:ascii="Arial" w:hAnsi="Arial"/>
          <w:sz w:val="21"/>
        </w:rPr>
        <w:t>2026年安徽事业单位面试全真模拟卷一</w:t>
      </w:r>
    </w:p>
    <w:p>
      <w:r>
        <w:rPr>
          <w:rFonts w:ascii="Arial" w:hAnsi="Arial"/>
          <w:sz w:val="21"/>
        </w:rPr>
        <w:t># 套题开始</w:t>
      </w:r>
    </w:p>
    <w:p>
      <w:r>
        <w:rPr>
          <w:rFonts w:ascii="Arial" w:hAnsi="Arial"/>
          <w:sz w:val="21"/>
        </w:rPr>
        <w:t>套题ID：AH-SYDW-2026-001</w:t>
      </w:r>
    </w:p>
    <w:p>
      <w:r>
        <w:rPr>
          <w:rFonts w:ascii="Arial" w:hAnsi="Arial"/>
          <w:sz w:val="21"/>
        </w:rPr>
        <w:t>套题Key：AH-SYDW-2026-001</w:t>
      </w:r>
    </w:p>
    <w:p>
      <w:r>
        <w:rPr>
          <w:rFonts w:ascii="Arial" w:hAnsi="Arial"/>
          <w:sz w:val="21"/>
        </w:rPr>
        <w:t>套题名称：2026年安徽事业单位面试全真模拟卷一</w:t>
      </w:r>
    </w:p>
    <w:p>
      <w:r>
        <w:rPr>
          <w:rFonts w:ascii="Arial" w:hAnsi="Arial"/>
          <w:sz w:val="21"/>
        </w:rPr>
        <w:t>考试大类：事业单位考试</w:t>
      </w:r>
    </w:p>
    <w:p>
      <w:r>
        <w:rPr>
          <w:rFonts w:ascii="Arial" w:hAnsi="Arial"/>
          <w:sz w:val="21"/>
        </w:rPr>
        <w:t>二级分类：安徽省</w:t>
      </w:r>
    </w:p>
    <w:p>
      <w:r>
        <w:rPr>
          <w:rFonts w:ascii="Arial" w:hAnsi="Arial"/>
          <w:sz w:val="21"/>
        </w:rPr>
        <w:t>省份：安徽</w:t>
      </w:r>
    </w:p>
    <w:p>
      <w:r>
        <w:rPr>
          <w:rFonts w:ascii="Arial" w:hAnsi="Arial"/>
          <w:sz w:val="21"/>
        </w:rPr>
        <w:t>城市：</w:t>
      </w:r>
    </w:p>
    <w:p>
      <w:r>
        <w:rPr>
          <w:rFonts w:ascii="Arial" w:hAnsi="Arial"/>
          <w:sz w:val="21"/>
        </w:rPr>
        <w:t>区县：</w:t>
      </w:r>
    </w:p>
    <w:p>
      <w:r>
        <w:rPr>
          <w:rFonts w:ascii="Arial" w:hAnsi="Arial"/>
          <w:sz w:val="21"/>
        </w:rPr>
        <w:t>系统：</w:t>
      </w:r>
    </w:p>
    <w:p>
      <w:r>
        <w:rPr>
          <w:rFonts w:ascii="Arial" w:hAnsi="Arial"/>
          <w:sz w:val="21"/>
        </w:rPr>
        <w:t>具体单位：</w:t>
      </w:r>
    </w:p>
    <w:p>
      <w:r>
        <w:rPr>
          <w:rFonts w:ascii="Arial" w:hAnsi="Arial"/>
          <w:sz w:val="21"/>
        </w:rPr>
        <w:t>岗位/类别：综合管理岗</w:t>
      </w:r>
    </w:p>
    <w:p>
      <w:r>
        <w:rPr>
          <w:rFonts w:ascii="Arial" w:hAnsi="Arial"/>
          <w:sz w:val="21"/>
        </w:rPr>
        <w:t>岗位类别：综合管理岗</w:t>
      </w:r>
    </w:p>
    <w:p>
      <w:r>
        <w:rPr>
          <w:rFonts w:ascii="Arial" w:hAnsi="Arial"/>
          <w:sz w:val="21"/>
        </w:rPr>
        <w:t>招录层级：省直/市属/县乡按真实来源填写</w:t>
      </w:r>
    </w:p>
    <w:p>
      <w:r>
        <w:rPr>
          <w:rFonts w:ascii="Arial" w:hAnsi="Arial"/>
          <w:sz w:val="21"/>
        </w:rPr>
        <w:t>面试形式：结构化面试</w:t>
      </w:r>
    </w:p>
    <w:p>
      <w:r>
        <w:rPr>
          <w:rFonts w:ascii="Arial" w:hAnsi="Arial"/>
          <w:sz w:val="21"/>
        </w:rPr>
        <w:t>考试日期：2026-01-01</w:t>
      </w:r>
    </w:p>
    <w:p>
      <w:r>
        <w:rPr>
          <w:rFonts w:ascii="Arial" w:hAnsi="Arial"/>
          <w:sz w:val="21"/>
        </w:rPr>
        <w:t>批次：第一批次</w:t>
      </w:r>
    </w:p>
    <w:p>
      <w:r>
        <w:rPr>
          <w:rFonts w:ascii="Arial" w:hAnsi="Arial"/>
          <w:sz w:val="21"/>
        </w:rPr>
        <w:t>答题总分：95</w:t>
      </w:r>
    </w:p>
    <w:p>
      <w:r>
        <w:rPr>
          <w:rFonts w:ascii="Arial" w:hAnsi="Arial"/>
          <w:sz w:val="21"/>
        </w:rPr>
        <w:t>仪态分：5</w:t>
      </w:r>
    </w:p>
    <w:p>
      <w:r>
        <w:rPr>
          <w:rFonts w:ascii="Arial" w:hAnsi="Arial"/>
          <w:sz w:val="21"/>
        </w:rPr>
        <w:t>是否有仪态分：true</w:t>
      </w:r>
    </w:p>
    <w:p>
      <w:r>
        <w:rPr>
          <w:rFonts w:ascii="Arial" w:hAnsi="Arial"/>
          <w:sz w:val="21"/>
        </w:rPr>
        <w:t>套题总分：100</w:t>
      </w:r>
    </w:p>
    <w:p>
      <w:r>
        <w:rPr>
          <w:rFonts w:ascii="Arial" w:hAnsi="Arial"/>
          <w:sz w:val="21"/>
        </w:rPr>
        <w:t>分类置信度：high</w:t>
      </w:r>
    </w:p>
    <w:p>
      <w:r>
        <w:rPr>
          <w:rFonts w:ascii="Arial" w:hAnsi="Arial"/>
          <w:sz w:val="21"/>
        </w:rPr>
        <w:t>复核状态：已确认</w:t>
      </w:r>
    </w:p>
    <w:p>
      <w:r>
        <w:rPr>
          <w:rFonts w:ascii="Arial" w:hAnsi="Arial"/>
          <w:sz w:val="21"/>
        </w:rPr>
        <w:t>复核原因：</w:t>
      </w:r>
    </w:p>
    <w:p>
      <w:r>
        <w:rPr>
          <w:rFonts w:ascii="Arial" w:hAnsi="Arial"/>
          <w:sz w:val="21"/>
        </w:rPr>
        <w:t>来源文档：2026安徽事业单位面试真题.docx</w:t>
      </w:r>
    </w:p>
    <w:p>
      <w:r>
        <w:rPr>
          <w:rFonts w:ascii="Arial" w:hAnsi="Arial"/>
          <w:sz w:val="21"/>
        </w:rPr>
        <w:t>来源页码：第1页</w:t>
      </w:r>
    </w:p>
    <w:p>
      <w:r>
        <w:rPr>
          <w:rFonts w:ascii="Arial" w:hAnsi="Arial"/>
          <w:sz w:val="21"/>
        </w:rPr>
        <w:t>备注：可记录上午/下午场、资料来源、维护人等。</w:t>
      </w:r>
    </w:p>
    <w:p>
      <w:r>
        <w:rPr>
          <w:rFonts w:ascii="Arial" w:hAnsi="Arial"/>
          <w:sz w:val="21"/>
        </w:rPr>
        <w:t># 题目开始</w:t>
      </w:r>
    </w:p>
    <w:p>
      <w:r>
        <w:rPr>
          <w:rFonts w:ascii="Arial" w:hAnsi="Arial"/>
          <w:sz w:val="21"/>
        </w:rPr>
        <w:t>题号：AH-SYDW-20260101-01</w:t>
      </w:r>
    </w:p>
    <w:p>
      <w:r>
        <w:rPr>
          <w:rFonts w:ascii="Arial" w:hAnsi="Arial"/>
          <w:sz w:val="21"/>
        </w:rPr>
        <w:t>题序：1</w:t>
      </w:r>
    </w:p>
    <w:p>
      <w:r>
        <w:rPr>
          <w:rFonts w:ascii="Arial" w:hAnsi="Arial"/>
          <w:sz w:val="21"/>
        </w:rPr>
        <w:t>题型：综合分析·基层治理</w:t>
      </w:r>
    </w:p>
    <w:p>
      <w:r>
        <w:rPr>
          <w:rFonts w:ascii="Arial" w:hAnsi="Arial"/>
          <w:sz w:val="21"/>
        </w:rPr>
        <w:t>题型维度：综合分析</w:t>
      </w:r>
    </w:p>
    <w:p>
      <w:r>
        <w:rPr>
          <w:rFonts w:ascii="Arial" w:hAnsi="Arial"/>
          <w:sz w:val="21"/>
        </w:rPr>
        <w:t>特色入口：</w:t>
      </w:r>
    </w:p>
    <w:p>
      <w:r>
        <w:rPr>
          <w:rFonts w:ascii="Arial" w:hAnsi="Arial"/>
          <w:sz w:val="21"/>
        </w:rPr>
        <w:t>展示入口：</w:t>
      </w:r>
    </w:p>
    <w:p>
      <w:r>
        <w:rPr>
          <w:rFonts w:ascii="Arial" w:hAnsi="Arial"/>
          <w:sz w:val="21"/>
        </w:rPr>
        <w:t>能力维度：analysis</w:t>
      </w:r>
    </w:p>
    <w:p>
      <w:r>
        <w:rPr>
          <w:rFonts w:ascii="Arial" w:hAnsi="Arial"/>
          <w:sz w:val="21"/>
        </w:rPr>
        <w:t>题目满分：25</w:t>
      </w:r>
    </w:p>
    <w:p>
      <w:r>
        <w:rPr>
          <w:rFonts w:ascii="Arial" w:hAnsi="Arial"/>
          <w:sz w:val="21"/>
        </w:rPr>
        <w:t>备考秒数：90</w:t>
      </w:r>
    </w:p>
    <w:p>
      <w:r>
        <w:rPr>
          <w:rFonts w:ascii="Arial" w:hAnsi="Arial"/>
          <w:sz w:val="21"/>
        </w:rPr>
        <w:t>作答秒数：180</w:t>
      </w:r>
    </w:p>
    <w:p>
      <w:r>
        <w:rPr>
          <w:rFonts w:ascii="Arial" w:hAnsi="Arial"/>
          <w:sz w:val="21"/>
        </w:rPr>
        <w:t>标签：安徽；事业单位；综合分析；基层治理；全真模拟</w:t>
      </w:r>
    </w:p>
    <w:p>
      <w:r>
        <w:rPr>
          <w:rFonts w:ascii="Arial" w:hAnsi="Arial"/>
          <w:sz w:val="21"/>
        </w:rPr>
        <w:t>题干：</w:t>
      </w:r>
    </w:p>
    <w:p>
      <w:r>
        <w:rPr>
          <w:rFonts w:ascii="Arial" w:hAnsi="Arial"/>
          <w:sz w:val="21"/>
        </w:rPr>
        <w:t>某地推进基层治理数字化，但部分群众反映线上流程复杂、线下窗口减少。对此你怎么看？（25分）</w:t>
      </w:r>
    </w:p>
    <w:p>
      <w:r>
        <w:rPr>
          <w:rFonts w:ascii="Arial" w:hAnsi="Arial"/>
          <w:sz w:val="21"/>
        </w:rPr>
        <w:t>评分维度：</w:t>
      </w:r>
    </w:p>
    <w:p>
      <w:r>
        <w:rPr>
          <w:rFonts w:ascii="Arial" w:hAnsi="Arial"/>
          <w:sz w:val="21"/>
        </w:rPr>
        <w:t>1. 观点明确，能辩证看待数字治理与群众便利的关系 | 5分</w:t>
      </w:r>
    </w:p>
    <w:p>
      <w:r>
        <w:rPr>
          <w:rFonts w:ascii="Arial" w:hAnsi="Arial"/>
          <w:sz w:val="21"/>
        </w:rPr>
        <w:t>2. 分析充分，能指出效率提升、适老化不足、线下兜底等关键矛盾 | 8分</w:t>
      </w:r>
    </w:p>
    <w:p>
      <w:r>
        <w:rPr>
          <w:rFonts w:ascii="Arial" w:hAnsi="Arial"/>
          <w:sz w:val="21"/>
        </w:rPr>
        <w:t>3. 对策可行，能提出流程优化、帮办代办、保留窗口、反馈闭环等措施 | 8分</w:t>
      </w:r>
    </w:p>
    <w:p>
      <w:r>
        <w:rPr>
          <w:rFonts w:ascii="Arial" w:hAnsi="Arial"/>
          <w:sz w:val="21"/>
        </w:rPr>
        <w:t>4. 表达清晰，结构完整，语言规范 | 4分</w:t>
      </w:r>
    </w:p>
    <w:p>
      <w:r>
        <w:rPr>
          <w:rFonts w:ascii="Arial" w:hAnsi="Arial"/>
          <w:sz w:val="21"/>
        </w:rPr>
        <w:t>核心关键词：基层治理；数字化；群众便利；线下兜底</w:t>
      </w:r>
    </w:p>
    <w:p>
      <w:r>
        <w:rPr>
          <w:rFonts w:ascii="Arial" w:hAnsi="Arial"/>
          <w:sz w:val="21"/>
        </w:rPr>
        <w:t>强关联关键词：适老化；帮办代办；反馈闭环</w:t>
      </w:r>
    </w:p>
    <w:p>
      <w:r>
        <w:rPr>
          <w:rFonts w:ascii="Arial" w:hAnsi="Arial"/>
          <w:sz w:val="21"/>
        </w:rPr>
        <w:t>弱关联关键词：窗口服务；流程优化</w:t>
      </w:r>
    </w:p>
    <w:p>
      <w:r>
        <w:rPr>
          <w:rFonts w:ascii="Arial" w:hAnsi="Arial"/>
          <w:sz w:val="21"/>
        </w:rPr>
        <w:t>加分关键词：以人民为中心；长效机制；数据赋能</w:t>
      </w:r>
    </w:p>
    <w:p>
      <w:r>
        <w:rPr>
          <w:rFonts w:ascii="Arial" w:hAnsi="Arial"/>
          <w:sz w:val="21"/>
        </w:rPr>
        <w:t>扣分关键词：只谈技术不谈群众；脱离题意；对策空泛</w:t>
      </w:r>
    </w:p>
    <w:p>
      <w:r>
        <w:rPr>
          <w:rFonts w:ascii="Arial" w:hAnsi="Arial"/>
          <w:sz w:val="21"/>
        </w:rPr>
        <w:t>评分细则：</w:t>
      </w:r>
    </w:p>
    <w:p>
      <w:r>
        <w:rPr>
          <w:rFonts w:ascii="Arial" w:hAnsi="Arial"/>
          <w:sz w:val="21"/>
        </w:rPr>
        <w:t>- 观点明确（5分）：能指出数字治理应服务群众，而不是让群众迁就系统。</w:t>
      </w:r>
    </w:p>
    <w:p>
      <w:r>
        <w:rPr>
          <w:rFonts w:ascii="Arial" w:hAnsi="Arial"/>
          <w:sz w:val="21"/>
        </w:rPr>
        <w:t>- 分析充分（8分）：能同时看到效率价值和特殊群体使用门槛。</w:t>
      </w:r>
    </w:p>
    <w:p>
      <w:r>
        <w:rPr>
          <w:rFonts w:ascii="Arial" w:hAnsi="Arial"/>
          <w:sz w:val="21"/>
        </w:rPr>
        <w:t>- 对策可行（8分）：措施具体，兼顾线上优化和线下兜底。</w:t>
      </w:r>
    </w:p>
    <w:p>
      <w:r>
        <w:rPr>
          <w:rFonts w:ascii="Arial" w:hAnsi="Arial"/>
          <w:sz w:val="21"/>
        </w:rPr>
        <w:t>- 表达清晰（4分）：结构完整，语言规范。</w:t>
      </w:r>
    </w:p>
    <w:p>
      <w:r>
        <w:rPr>
          <w:rFonts w:ascii="Arial" w:hAnsi="Arial"/>
          <w:sz w:val="21"/>
        </w:rPr>
        <w:t>扣分规则：</w:t>
      </w:r>
    </w:p>
    <w:p>
      <w:r>
        <w:rPr>
          <w:rFonts w:ascii="Arial" w:hAnsi="Arial"/>
          <w:sz w:val="21"/>
        </w:rPr>
        <w:t>- 完全脱离题意扣8-12分。</w:t>
      </w:r>
    </w:p>
    <w:p>
      <w:r>
        <w:rPr>
          <w:rFonts w:ascii="Arial" w:hAnsi="Arial"/>
          <w:sz w:val="21"/>
        </w:rPr>
        <w:t>- 只有表态无分析扣4-6分。</w:t>
      </w:r>
    </w:p>
    <w:p>
      <w:r>
        <w:rPr>
          <w:rFonts w:ascii="Arial" w:hAnsi="Arial"/>
          <w:sz w:val="21"/>
        </w:rPr>
        <w:t>- 无具体对策扣3-5分。</w:t>
      </w:r>
    </w:p>
    <w:p>
      <w:r>
        <w:rPr>
          <w:rFonts w:ascii="Arial" w:hAnsi="Arial"/>
          <w:sz w:val="21"/>
        </w:rPr>
        <w:t>参考答案：</w:t>
      </w:r>
    </w:p>
    <w:p>
      <w:r>
        <w:rPr>
          <w:rFonts w:ascii="Arial" w:hAnsi="Arial"/>
          <w:sz w:val="21"/>
        </w:rPr>
        <w:t>参考作答应围绕数字治理的初衷、当前痛点和改进路径展开。</w:t>
      </w:r>
    </w:p>
    <w:p>
      <w:r>
        <w:rPr>
          <w:rFonts w:ascii="Arial" w:hAnsi="Arial"/>
          <w:sz w:val="21"/>
        </w:rPr>
        <w:t>分数档：</w:t>
      </w:r>
    </w:p>
    <w:p>
      <w:r>
        <w:rPr>
          <w:rFonts w:ascii="Arial" w:hAnsi="Arial"/>
          <w:sz w:val="21"/>
        </w:rPr>
        <w:t>- 严重偏离 | 0-13.7 | 观点错误或明显脱题，缺少有效分析。</w:t>
      </w:r>
    </w:p>
    <w:p>
      <w:r>
        <w:rPr>
          <w:rFonts w:ascii="Arial" w:hAnsi="Arial"/>
          <w:sz w:val="21"/>
        </w:rPr>
        <w:t>- 基本合格 | 13.8-17.5 | 能回应题目，但分析和对策较泛。</w:t>
      </w:r>
    </w:p>
    <w:p>
      <w:r>
        <w:rPr>
          <w:rFonts w:ascii="Arial" w:hAnsi="Arial"/>
          <w:sz w:val="21"/>
        </w:rPr>
        <w:t>- 微微偏离 | 17.6-21.2 | 主线正确，部分要点展开不足。</w:t>
      </w:r>
    </w:p>
    <w:p>
      <w:r>
        <w:rPr>
          <w:rFonts w:ascii="Arial" w:hAnsi="Arial"/>
          <w:sz w:val="21"/>
        </w:rPr>
        <w:t>- 预期范围 | 21.3-25 | 结构完整、要点充分、表达自然。</w:t>
      </w:r>
    </w:p>
    <w:p>
      <w:r>
        <w:rPr>
          <w:rFonts w:ascii="Arial" w:hAnsi="Arial"/>
          <w:sz w:val="21"/>
        </w:rPr>
        <w:t># 题目结束</w:t>
      </w:r>
    </w:p>
    <w:p>
      <w:r>
        <w:rPr>
          <w:rFonts w:ascii="Arial" w:hAnsi="Arial"/>
          <w:sz w:val="21"/>
        </w:rPr>
        <w:t># 套题结束</w:t>
      </w:r>
    </w:p>
    <w:p>
      <w:pPr>
        <w:pStyle w:val="Heading2"/>
      </w:pPr>
      <w:r>
        <w:rPr>
          <w:rFonts w:ascii="Arial" w:hAnsi="Arial"/>
          <w:sz w:val="21"/>
        </w:rPr>
        <w:t>四、复核标记示例</w:t>
      </w:r>
    </w:p>
    <w:p>
      <w:pPr>
        <w:pStyle w:val="ListBullet"/>
      </w:pPr>
      <w:r>
        <w:rPr>
          <w:rFonts w:ascii="Arial" w:hAnsi="Arial"/>
          <w:sz w:val="21"/>
        </w:rPr>
        <w:t>无四级层级：interviewFormat 为空，classificationConfidence=medium，reviewStatus=待确认，reviewReason=未明确面试形式。</w:t>
      </w:r>
    </w:p>
    <w:p>
      <w:pPr>
        <w:pStyle w:val="ListBullet"/>
      </w:pPr>
      <w:r>
        <w:rPr>
          <w:rFonts w:ascii="Arial" w:hAnsi="Arial"/>
          <w:sz w:val="21"/>
        </w:rPr>
        <w:t>来源冲突：文件名显示江苏，套题标题显示安徽，按套题标题分类，并在 reviewReason 记录来源冲突。</w:t>
      </w:r>
    </w:p>
    <w:p>
      <w:pPr>
        <w:pStyle w:val="ListBullet"/>
      </w:pPr>
      <w:r>
        <w:rPr>
          <w:rFonts w:ascii="Arial" w:hAnsi="Arial"/>
          <w:sz w:val="21"/>
        </w:rPr>
        <w:t>无实际题目类别：保留分类接口和枚举，但题库为空时不得生成伪重点分析，等待管理员补充。</w:t>
      </w:r>
    </w:p>
    <w:p>
      <w:pPr>
        <w:pStyle w:val="Heading1"/>
      </w:pPr>
      <w:r>
        <w:rPr>
          <w:rFonts w:ascii="Arial" w:hAnsi="Arial"/>
          <w:sz w:val="21"/>
        </w:rPr>
        <w:t>四、分类纠偏提示</w:t>
      </w:r>
    </w:p>
    <w:p>
      <w:r>
        <w:rPr>
          <w:rFonts w:ascii="Arial" w:hAnsi="Arial"/>
          <w:sz w:val="21"/>
        </w:rPr>
        <w:t>江苏事业单位真题：examCategory=事业单位考试，examSubcategory=江苏省；医疗、护理、税务、市场监管等只作为 system/positionType/portalTags。</w:t>
      </w:r>
    </w:p>
    <w:p>
      <w:r>
        <w:rPr>
          <w:rFonts w:ascii="Arial" w:hAnsi="Arial"/>
          <w:sz w:val="21"/>
        </w:rPr>
        <w:t>安徽公务员真题：examCategory=省级公务员考试，examSubcategory=安徽省；不得出现江苏 A/B/C/D/E 类。</w:t>
      </w:r>
    </w:p>
    <w:p>
      <w:r>
        <w:rPr>
          <w:rFonts w:ascii="Arial" w:hAnsi="Arial"/>
          <w:sz w:val="21"/>
        </w:rPr>
        <w:t>湖南公务员真题：examCategory=省级公务员考试，examSubcategory=湖南省；监狱、税务补录只作为 system、positionType 或 batch。</w:t>
      </w:r>
    </w:p>
    <w:p>
      <w:r>
        <w:rPr>
          <w:rFonts w:ascii="Arial" w:hAnsi="Arial"/>
          <w:sz w:val="21"/>
        </w:rPr>
        <w:t>没有真实题目的国考、银行、法检等入口可保留空入口，但普通用户侧应展示暂无足够题库数据，不生成伪分析。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