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jc w:val="center"/>
      </w:pPr>
      <w:r>
        <w:rPr>
          <w:rFonts w:ascii="黑体" w:hAnsi="黑体" w:eastAsia="黑体"/>
          <w:b/>
          <w:sz w:val="32"/>
        </w:rPr>
        <w:t>附件一：公考面试AI测评系统 V1.1.0 功能清单</w:t>
      </w:r>
    </w:p>
    <w:p>
      <w:pPr>
        <w:spacing w:before="0" w:after="0" w:line="360" w:lineRule="auto"/>
        <w:jc w:val="left"/>
      </w:pPr>
      <w:r>
        <w:rPr>
          <w:rFonts w:ascii="黑体" w:hAnsi="黑体" w:eastAsia="黑体"/>
          <w:b/>
          <w:sz w:val="24"/>
        </w:rPr>
        <w:t>一、清单说明</w:t>
      </w:r>
    </w:p>
    <w:p>
      <w:pPr>
        <w:spacing w:before="0" w:after="0" w:line="360" w:lineRule="auto"/>
        <w:jc w:val="left"/>
      </w:pPr>
      <w:r>
        <w:rPr>
          <w:rFonts w:ascii="宋体" w:hAnsi="宋体" w:eastAsia="宋体"/>
          <w:sz w:val="24"/>
        </w:rPr>
        <w:t>本清单为《                                                》（合同编号：                   ）不可分割的组成部分，与主合同具有同等法律效力。</w:t>
      </w:r>
    </w:p>
    <w:p>
      <w:pPr>
        <w:spacing w:before="0" w:after="0" w:line="360" w:lineRule="auto"/>
        <w:jc w:val="left"/>
      </w:pPr>
      <w:r>
        <w:rPr>
          <w:rFonts w:ascii="宋体" w:hAnsi="宋体" w:eastAsia="宋体"/>
          <w:sz w:val="24"/>
        </w:rPr>
        <w:t>软件名称：公考面试AI测评系统（后端）</w:t>
      </w:r>
    </w:p>
    <w:p>
      <w:pPr>
        <w:spacing w:before="0" w:after="0" w:line="360" w:lineRule="auto"/>
        <w:jc w:val="left"/>
      </w:pPr>
      <w:r>
        <w:rPr>
          <w:rFonts w:ascii="宋体" w:hAnsi="宋体" w:eastAsia="宋体"/>
          <w:sz w:val="24"/>
        </w:rPr>
        <w:t>版本号：V1.1.0</w:t>
      </w:r>
    </w:p>
    <w:p>
      <w:pPr>
        <w:spacing w:before="0" w:after="0" w:line="360" w:lineRule="auto"/>
        <w:jc w:val="left"/>
      </w:pPr>
      <w:r>
        <w:rPr>
          <w:rFonts w:ascii="宋体" w:hAnsi="宋体" w:eastAsia="宋体"/>
          <w:sz w:val="24"/>
        </w:rPr>
        <w:t>交付形态：后端 API 服务、题库配置及回归测试脚本。</w:t>
      </w:r>
    </w:p>
    <w:p>
      <w:pPr>
        <w:spacing w:before="0" w:after="0" w:line="360" w:lineRule="auto"/>
        <w:jc w:val="left"/>
      </w:pPr>
      <w:r>
        <w:rPr>
          <w:rFonts w:ascii="宋体" w:hAnsi="宋体" w:eastAsia="宋体"/>
          <w:sz w:val="24"/>
        </w:rPr>
        <w:t>本清单所列功能模块作为双方确认的软件交付核心依据。</w:t>
      </w:r>
    </w:p>
    <w:p>
      <w:pPr>
        <w:spacing w:before="0" w:after="0" w:line="360" w:lineRule="auto"/>
        <w:jc w:val="left"/>
      </w:pPr>
      <w:r>
        <w:rPr>
          <w:rFonts w:ascii="黑体" w:hAnsi="黑体" w:eastAsia="黑体"/>
          <w:b/>
          <w:sz w:val="24"/>
        </w:rPr>
        <w:t>二、核心功能模块</w:t>
      </w:r>
    </w:p>
    <w:p>
      <w:pPr>
        <w:spacing w:before="0" w:after="0" w:line="360" w:lineRule="auto"/>
        <w:jc w:val="left"/>
      </w:pPr>
      <w:r>
        <w:rPr>
          <w:rFonts w:ascii="黑体" w:hAnsi="黑体" w:eastAsia="黑体"/>
          <w:b/>
          <w:sz w:val="24"/>
        </w:rPr>
        <w:t>（一）题库与测评接入模块</w:t>
      </w:r>
    </w:p>
    <w:p>
      <w:pPr>
        <w:spacing w:before="0" w:after="0" w:line="360" w:lineRule="auto"/>
        <w:jc w:val="left"/>
      </w:pPr>
      <w:r>
        <w:rPr>
          <w:rFonts w:ascii="宋体" w:hAnsi="宋体" w:eastAsia="宋体"/>
          <w:sz w:val="24"/>
        </w:rPr>
        <w:t>题库管理与查询：支持从单个 JSON 文件、包含 questions 数组的配置文件或多文件目录加载题库，启动时完成题目结构校验、question_id 去重及内存缓存；提供题目列表查询和单题详情查询，可返回题型、省份、满分、评分维度、关键词、评分标准、分档区间、参考答案及回归样本等配置信息。</w:t>
      </w:r>
    </w:p>
    <w:p>
      <w:pPr>
        <w:spacing w:before="0" w:after="0" w:line="360" w:lineRule="auto"/>
        <w:jc w:val="left"/>
      </w:pPr>
      <w:r>
        <w:rPr>
          <w:rFonts w:ascii="宋体" w:hAnsi="宋体" w:eastAsia="宋体"/>
          <w:sz w:val="24"/>
        </w:rPr>
        <w:t>测评提交与校验：提供音视频测评接口和纯文本测评接口，支持 question_id 绑定评分目标，支持 .txt、.mp3、.wav、.m4a、.mp4、.avi、.mov、.mkv 等输入格式；系统对媒体后缀、文本编码、空内容和题目存在性进行校验，并在异常场景下返回对应 HTTP 状态码。</w:t>
      </w:r>
    </w:p>
    <w:p>
      <w:pPr>
        <w:spacing w:before="0" w:after="0" w:line="360" w:lineRule="auto"/>
        <w:jc w:val="left"/>
      </w:pPr>
      <w:r>
        <w:rPr>
          <w:rFonts w:ascii="宋体" w:hAnsi="宋体" w:eastAsia="宋体"/>
          <w:sz w:val="24"/>
        </w:rPr>
        <w:t>接口查询与调试：支持最近测评记录列表、单条测评记录详情、健康检查及 Swagger 在线调试；接口返回统一 JSON 响应结构，便于前端集成、联调和后续扩展。</w:t>
      </w:r>
    </w:p>
    <w:p>
      <w:pPr>
        <w:spacing w:before="0" w:after="0" w:line="360" w:lineRule="auto"/>
        <w:jc w:val="left"/>
      </w:pPr>
      <w:r>
        <w:rPr>
          <w:rFonts w:ascii="黑体" w:hAnsi="黑体" w:eastAsia="黑体"/>
          <w:b/>
          <w:sz w:val="24"/>
        </w:rPr>
        <w:t>（二）媒体解析模块</w:t>
      </w:r>
    </w:p>
    <w:p>
      <w:pPr>
        <w:spacing w:before="0" w:after="0" w:line="360" w:lineRule="auto"/>
        <w:jc w:val="left"/>
      </w:pPr>
      <w:r>
        <w:rPr>
          <w:rFonts w:ascii="宋体" w:hAnsi="宋体" w:eastAsia="宋体"/>
          <w:sz w:val="24"/>
        </w:rPr>
        <w:t>音频转写：支持基于 Whisper 的本地语音识别，采用模型懒加载与缓存复用机制，可配置模型尺寸、识别语言和 CPU 线程数；当依赖缺失或转写失败时，可返回清晰错误信息。</w:t>
      </w:r>
    </w:p>
    <w:p>
      <w:pPr>
        <w:spacing w:before="0" w:after="0" w:line="360" w:lineRule="auto"/>
        <w:jc w:val="left"/>
      </w:pPr>
      <w:r>
        <w:rPr>
          <w:rFonts w:ascii="宋体" w:hAnsi="宋体" w:eastAsia="宋体"/>
          <w:sz w:val="24"/>
        </w:rPr>
        <w:t>视频处理与仪态观察：支持通过 ffmpeg 从视频中提取 16k 单声道音频并复用音频转写流程；可基于 OpenCV 对视频做人脸检测与头部晃动的轻量观察，输出独立的 visual_observation 仪态描述结果。</w:t>
      </w:r>
    </w:p>
    <w:p>
      <w:pPr>
        <w:spacing w:before="0" w:after="0" w:line="360" w:lineRule="auto"/>
        <w:jc w:val="left"/>
      </w:pPr>
      <w:r>
        <w:rPr>
          <w:rFonts w:ascii="宋体" w:hAnsi="宋体" w:eastAsia="宋体"/>
          <w:sz w:val="24"/>
        </w:rPr>
        <w:t>统一抽取结果：文本、音频、视频最终统一整理为 transcript、source、source_filename、visual_observation 结构；视觉观察与考生原文分字段保存，避免内容评分链路被非原文信息污染。</w:t>
      </w:r>
    </w:p>
    <w:p>
      <w:pPr>
        <w:spacing w:before="0" w:after="0" w:line="360" w:lineRule="auto"/>
        <w:jc w:val="left"/>
      </w:pPr>
      <w:r>
        <w:rPr>
          <w:rFonts w:ascii="黑体" w:hAnsi="黑体" w:eastAsia="黑体"/>
          <w:b/>
          <w:sz w:val="24"/>
        </w:rPr>
        <w:t>（三）评分引擎模块</w:t>
      </w:r>
    </w:p>
    <w:p>
      <w:pPr>
        <w:spacing w:before="0" w:after="0" w:line="360" w:lineRule="auto"/>
        <w:jc w:val="left"/>
      </w:pPr>
      <w:r>
        <w:rPr>
          <w:rFonts w:ascii="宋体" w:hAnsi="宋体" w:eastAsia="宋体"/>
          <w:sz w:val="24"/>
        </w:rPr>
        <w:t>两阶段评分流程：支持先进行原文证据抽取，再基于证据包完成维度评分、加扣分说明和总分计算；第一阶段仅抽取逐字可核验的 evidence_text，第二阶段禁止补充证据包以外的新事实。</w:t>
      </w:r>
    </w:p>
    <w:p>
      <w:pPr>
        <w:spacing w:before="0" w:after="0" w:line="360" w:lineRule="auto"/>
        <w:jc w:val="left"/>
      </w:pPr>
      <w:r>
        <w:rPr>
          <w:rFonts w:ascii="宋体" w:hAnsi="宋体" w:eastAsia="宋体"/>
          <w:sz w:val="24"/>
        </w:rPr>
        <w:t>模型调用与容错：支持 OpenAI 兼容接口接入，可配置模型供应商、模型名称、温度、最大 tokens、超时和重试次数，并可要求模型只返回 JSON；当模型输出代码块、解释性文本或非法 JSON 时，系统可自动提取候选 JSON 并触发重试修复。</w:t>
      </w:r>
    </w:p>
    <w:p>
      <w:pPr>
        <w:spacing w:before="0" w:after="0" w:line="360" w:lineRule="auto"/>
        <w:jc w:val="left"/>
      </w:pPr>
      <w:r>
        <w:rPr>
          <w:rFonts w:ascii="宋体" w:hAnsi="宋体" w:eastAsia="宋体"/>
          <w:sz w:val="24"/>
        </w:rPr>
        <w:t>后处理校验与确定性兜底：支持维度名纠正、缺失维度补零、越界分收敛、总分一致性校验、证据绑定校验、原文引用核验、短答降分、关键词补证及参考答案相似度校准；当 LLM 未初始化或评分失败时，可自动回退至确定性证据评分，并通过 validation_notes 记录修正与回退信息。</w:t>
      </w:r>
    </w:p>
    <w:p>
      <w:pPr>
        <w:spacing w:before="0" w:after="0" w:line="360" w:lineRule="auto"/>
        <w:jc w:val="left"/>
      </w:pPr>
      <w:r>
        <w:rPr>
          <w:rFonts w:ascii="黑体" w:hAnsi="黑体" w:eastAsia="黑体"/>
          <w:b/>
          <w:sz w:val="24"/>
        </w:rPr>
        <w:t>（四）数据存储与回归模块</w:t>
      </w:r>
    </w:p>
    <w:p>
      <w:pPr>
        <w:spacing w:before="0" w:after="0" w:line="360" w:lineRule="auto"/>
        <w:jc w:val="left"/>
      </w:pPr>
      <w:r>
        <w:rPr>
          <w:rFonts w:ascii="宋体" w:hAnsi="宋体" w:eastAsia="宋体"/>
          <w:sz w:val="24"/>
        </w:rPr>
        <w:t>测评结果存储：支持将题目 ID、题型、来源类型、原始文件名、transcript、视觉观察、Prompt、模型原始输出、结构化 Payload、最终评分结果及校验问题数写入数据库；当前默认采用 SQLite 方案，并在服务启动时自动建表。</w:t>
      </w:r>
    </w:p>
    <w:p>
      <w:pPr>
        <w:spacing w:before="0" w:after="0" w:line="360" w:lineRule="auto"/>
        <w:jc w:val="left"/>
      </w:pPr>
      <w:r>
        <w:rPr>
          <w:rFonts w:ascii="宋体" w:hAnsi="宋体" w:eastAsia="宋体"/>
          <w:sz w:val="24"/>
        </w:rPr>
        <w:t>回归测试与报表：提供批量回归脚本和真实大模型回归脚本，可按题目和样本执行评分、判断是否命中预期分数区间及分档，并输出 JSON / Markdown 报表供后续复盘与对比。</w:t>
      </w:r>
    </w:p>
    <w:p>
      <w:pPr>
        <w:spacing w:before="0" w:after="0" w:line="360" w:lineRule="auto"/>
        <w:jc w:val="left"/>
      </w:pPr>
      <w:r>
        <w:rPr>
          <w:rFonts w:ascii="宋体" w:hAnsi="宋体" w:eastAsia="宋体"/>
          <w:sz w:val="24"/>
        </w:rPr>
        <w:t>样本分层与标定：支持在题库中维护 regressionCases、scoreBands 与参考答案，可结合高分、中档、低档样本执行分层验证；真实大模型回归支持重复运行取中位数，并可选回写 llmExpected 区间用于后续模型标定。</w:t>
      </w:r>
    </w:p>
    <w:p>
      <w:pPr>
        <w:spacing w:before="0" w:after="0" w:line="360" w:lineRule="auto"/>
        <w:jc w:val="left"/>
      </w:pPr>
      <w:r>
        <w:rPr>
          <w:rFonts w:ascii="黑体" w:hAnsi="黑体" w:eastAsia="黑体"/>
          <w:b/>
          <w:sz w:val="24"/>
        </w:rPr>
        <w:t>（五）系统/平台管理模块</w:t>
      </w:r>
    </w:p>
    <w:p>
      <w:pPr>
        <w:spacing w:before="0" w:after="0" w:line="360" w:lineRule="auto"/>
        <w:jc w:val="left"/>
      </w:pPr>
      <w:r>
        <w:rPr>
          <w:rFonts w:ascii="宋体" w:hAnsi="宋体" w:eastAsia="宋体"/>
          <w:sz w:val="24"/>
        </w:rPr>
        <w:t>系统配置：支持通过 .env 和 Settings 统一管理项目名称、版本、题库路径、数据库地址、模型参数、Whisper 参数、评分阈值及媒体扩展名；支持相对路径稳定解析，兼容不同启动目录。</w:t>
      </w:r>
    </w:p>
    <w:p>
      <w:pPr>
        <w:spacing w:before="0" w:after="0" w:line="360" w:lineRule="auto"/>
        <w:jc w:val="left"/>
      </w:pPr>
      <w:r>
        <w:rPr>
          <w:rFonts w:ascii="宋体" w:hAnsi="宋体" w:eastAsia="宋体"/>
          <w:sz w:val="24"/>
        </w:rPr>
        <w:t>运行保障：服务启动时自动初始化数据库表结构，并通过依赖注入缓存复用题库服务、评分编排服务、模型客户端和记录服务；提供根路径跳转文档页与 /health 健康检查接口，便于部署巡检和服务状态确认。</w:t>
      </w:r>
    </w:p>
    <w:p>
      <w:pPr>
        <w:spacing w:before="0" w:after="0" w:line="360" w:lineRule="auto"/>
        <w:jc w:val="left"/>
      </w:pPr>
      <w:r>
        <w:rPr>
          <w:rFonts w:ascii="宋体" w:hAnsi="宋体" w:eastAsia="宋体"/>
          <w:sz w:val="24"/>
        </w:rPr>
        <w:t>工程维护：已配套题库服务测试、评分后处理测试、样本分层说明、项目说明文档和修改记录文档；整体采用 API 层、编排层、媒体层、评分层、存储层的分层结构，便于后续扩展前端、替换模型或迁移数据库。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