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C0C44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行业分析</w:t>
      </w:r>
    </w:p>
    <w:p w14:paraId="7BE2DD7F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行业发展和技术迭代节点替换成未来资本开支预测节点</w:t>
      </w:r>
    </w:p>
    <w:p w14:paraId="6E88EEE1">
      <w:p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国内企业的资本开支和国外的相比太小，我们主要算的资本开支都是海外的（英伟达、谷歌、亚马逊....)</w:t>
      </w:r>
    </w:p>
    <w:tbl>
      <w:tblPr>
        <w:tblStyle w:val="3"/>
        <w:tblW w:w="9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680"/>
        <w:gridCol w:w="4782"/>
      </w:tblGrid>
      <w:tr w14:paraId="074C9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2296" w:type="dxa"/>
          </w:tcPr>
          <w:p w14:paraId="256B550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</w:tcPr>
          <w:p w14:paraId="719BA97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4782" w:type="dxa"/>
          </w:tcPr>
          <w:p w14:paraId="746F1D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</w:tr>
      <w:tr w14:paraId="24B9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2296" w:type="dxa"/>
          </w:tcPr>
          <w:p w14:paraId="0CCF53F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行业研报解析节点</w:t>
            </w:r>
          </w:p>
        </w:tc>
        <w:tc>
          <w:tcPr>
            <w:tcW w:w="2680" w:type="dxa"/>
          </w:tcPr>
          <w:p w14:paraId="75A4B6B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研报原文（慧博智能终端策略）</w:t>
            </w:r>
          </w:p>
          <w:p w14:paraId="1323292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政策：研报+财联社</w:t>
            </w:r>
            <w:bookmarkStart w:id="0" w:name="_GoBack"/>
            <w:bookmarkEnd w:id="0"/>
          </w:p>
        </w:tc>
        <w:tc>
          <w:tcPr>
            <w:tcW w:w="4782" w:type="dxa"/>
          </w:tcPr>
          <w:p w14:paraId="7A8AC6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资本开支（capex）：</w:t>
            </w:r>
          </w:p>
          <w:p w14:paraId="4EAB865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1.近三到五年的上游资本开支（每年开支多少）</w:t>
            </w:r>
          </w:p>
          <w:p w14:paraId="2F6FD65D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2.分到通信的资本开支具体金额（每年）</w:t>
            </w:r>
          </w:p>
          <w:p w14:paraId="39949A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政策：</w:t>
            </w:r>
          </w:p>
          <w:p w14:paraId="75EBA0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政策的内容</w:t>
            </w:r>
          </w:p>
          <w:p w14:paraId="41B0FB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8F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96" w:type="dxa"/>
          </w:tcPr>
          <w:p w14:paraId="416B11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上游资本开支解析节点</w:t>
            </w:r>
          </w:p>
        </w:tc>
        <w:tc>
          <w:tcPr>
            <w:tcW w:w="2680" w:type="dxa"/>
          </w:tcPr>
          <w:p w14:paraId="5F601EF9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每年通信具体资本开支</w:t>
            </w:r>
          </w:p>
          <w:p w14:paraId="71225911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每年上游总的资本开支</w:t>
            </w:r>
          </w:p>
        </w:tc>
        <w:tc>
          <w:tcPr>
            <w:tcW w:w="4782" w:type="dxa"/>
          </w:tcPr>
          <w:p w14:paraId="61B42437">
            <w:pPr>
              <w:numPr>
                <w:ilvl w:val="0"/>
                <w:numId w:val="2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分到通信的资本开支处于增长还是放缓</w:t>
            </w:r>
          </w:p>
          <w:p w14:paraId="7C859ADC">
            <w:pPr>
              <w:numPr>
                <w:ilvl w:val="0"/>
                <w:numId w:val="2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通信占总体资本开支比重是否加大</w:t>
            </w:r>
          </w:p>
        </w:tc>
      </w:tr>
      <w:tr w14:paraId="6EB0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2296" w:type="dxa"/>
          </w:tcPr>
          <w:p w14:paraId="0CF782B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政策影响分析节点</w:t>
            </w:r>
          </w:p>
        </w:tc>
        <w:tc>
          <w:tcPr>
            <w:tcW w:w="2680" w:type="dxa"/>
          </w:tcPr>
          <w:p w14:paraId="41C23FF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政策的内容</w:t>
            </w:r>
          </w:p>
        </w:tc>
        <w:tc>
          <w:tcPr>
            <w:tcW w:w="4782" w:type="dxa"/>
          </w:tcPr>
          <w:p w14:paraId="4F21207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1.对上游资本开支积极还是消极</w:t>
            </w:r>
          </w:p>
          <w:p w14:paraId="344843D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2.对资本开支影响力度大还是小</w:t>
            </w:r>
          </w:p>
        </w:tc>
      </w:tr>
      <w:tr w14:paraId="6AA1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2296" w:type="dxa"/>
          </w:tcPr>
          <w:p w14:paraId="424E61F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未来资本开支预测节点</w:t>
            </w:r>
          </w:p>
        </w:tc>
        <w:tc>
          <w:tcPr>
            <w:tcW w:w="2680" w:type="dxa"/>
          </w:tcPr>
          <w:p w14:paraId="5250F390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分到通信的资本开支增长/放缓。</w:t>
            </w:r>
          </w:p>
          <w:p w14:paraId="488D070B">
            <w:pPr>
              <w:numPr>
                <w:ilvl w:val="0"/>
                <w:numId w:val="3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通信占总资本开支比重增大、减小。</w:t>
            </w:r>
          </w:p>
          <w:p w14:paraId="68F65CDB">
            <w:pPr>
              <w:numPr>
                <w:ilvl w:val="0"/>
                <w:numId w:val="3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政策对通信资本开支的影响积极/消极、大/小</w:t>
            </w:r>
          </w:p>
        </w:tc>
        <w:tc>
          <w:tcPr>
            <w:tcW w:w="4782" w:type="dxa"/>
          </w:tcPr>
          <w:p w14:paraId="591A4EE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测算明年、后年的给到通信的资本开支。</w:t>
            </w:r>
          </w:p>
        </w:tc>
      </w:tr>
      <w:tr w14:paraId="155D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2296" w:type="dxa"/>
          </w:tcPr>
          <w:p w14:paraId="5A8D166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行业未来价值测算节点</w:t>
            </w:r>
          </w:p>
        </w:tc>
        <w:tc>
          <w:tcPr>
            <w:tcW w:w="2680" w:type="dxa"/>
          </w:tcPr>
          <w:p w14:paraId="0DC702A7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我们测算的明年、后年通信的资本开支</w:t>
            </w:r>
          </w:p>
        </w:tc>
        <w:tc>
          <w:tcPr>
            <w:tcW w:w="4782" w:type="dxa"/>
          </w:tcPr>
          <w:p w14:paraId="321ED72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估计通信行业总体的市值</w:t>
            </w:r>
          </w:p>
          <w:p w14:paraId="3CE2B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1. A股企业可触达收入（通信资本开支 × 35-40%）</w:t>
            </w:r>
          </w:p>
          <w:p w14:paraId="32196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2. 预计净利润（收入 × 净利率）利润率大约30%</w:t>
            </w:r>
          </w:p>
          <w:p w14:paraId="1D294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3. 合理市值区间（利润 × PE）PE大约30-35</w:t>
            </w:r>
          </w:p>
          <w:p w14:paraId="58511C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4. 当前市值 vs 合理市值（高估/低估判断）</w:t>
            </w:r>
          </w:p>
          <w:p w14:paraId="2260923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75F2665">
      <w:pPr>
        <w:rPr>
          <w:rFonts w:hint="default"/>
          <w:sz w:val="21"/>
          <w:szCs w:val="21"/>
          <w:lang w:val="en-US" w:eastAsia="zh-CN"/>
        </w:rPr>
      </w:pPr>
    </w:p>
    <w:p w14:paraId="2E523298">
      <w:pPr>
        <w:rPr>
          <w:rFonts w:hint="default"/>
          <w:sz w:val="21"/>
          <w:szCs w:val="21"/>
          <w:lang w:val="en-US" w:eastAsia="zh-CN"/>
        </w:rPr>
      </w:pPr>
    </w:p>
    <w:p w14:paraId="374D1DE9">
      <w:pPr>
        <w:rPr>
          <w:rFonts w:hint="default"/>
          <w:sz w:val="21"/>
          <w:szCs w:val="21"/>
          <w:lang w:val="en-US" w:eastAsia="zh-CN"/>
        </w:rPr>
      </w:pPr>
    </w:p>
    <w:p w14:paraId="2E87569C">
      <w:pPr>
        <w:rPr>
          <w:rFonts w:hint="eastAsia"/>
          <w:sz w:val="44"/>
          <w:szCs w:val="44"/>
          <w:lang w:val="en-US" w:eastAsia="zh-CN"/>
        </w:rPr>
      </w:pPr>
    </w:p>
    <w:p w14:paraId="03E54EB6">
      <w:pPr>
        <w:rPr>
          <w:rFonts w:hint="eastAsia"/>
          <w:sz w:val="44"/>
          <w:szCs w:val="44"/>
          <w:lang w:val="en-US" w:eastAsia="zh-CN"/>
        </w:rPr>
      </w:pPr>
    </w:p>
    <w:p w14:paraId="61A02C41">
      <w:pPr>
        <w:rPr>
          <w:rFonts w:hint="eastAsia"/>
          <w:sz w:val="44"/>
          <w:szCs w:val="44"/>
          <w:lang w:val="en-US" w:eastAsia="zh-CN"/>
        </w:rPr>
      </w:pPr>
    </w:p>
    <w:p w14:paraId="35A06593">
      <w:pPr>
        <w:rPr>
          <w:rFonts w:hint="eastAsia"/>
          <w:sz w:val="44"/>
          <w:szCs w:val="44"/>
          <w:lang w:val="en-US" w:eastAsia="zh-CN"/>
        </w:rPr>
      </w:pPr>
    </w:p>
    <w:p w14:paraId="4DA46729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个股分析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089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F72D90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3E349B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2841" w:type="dxa"/>
          </w:tcPr>
          <w:p w14:paraId="2B7A6F1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</w:tr>
      <w:tr w14:paraId="6380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E47B9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公司业务理解节点</w:t>
            </w:r>
          </w:p>
        </w:tc>
        <w:tc>
          <w:tcPr>
            <w:tcW w:w="2841" w:type="dxa"/>
          </w:tcPr>
          <w:p w14:paraId="234D784C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机构研报</w:t>
            </w:r>
          </w:p>
          <w:p w14:paraId="0DAF2CBA">
            <w:pPr>
              <w:numPr>
                <w:ilvl w:val="0"/>
                <w:numId w:val="4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公司业绩报</w:t>
            </w:r>
          </w:p>
        </w:tc>
        <w:tc>
          <w:tcPr>
            <w:tcW w:w="2841" w:type="dxa"/>
          </w:tcPr>
          <w:p w14:paraId="5E864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公司类型分类</w:t>
            </w:r>
          </w:p>
          <w:p w14:paraId="7A49730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光芯片厂商（源杰科技、长光华芯等）</w:t>
            </w:r>
          </w:p>
          <w:p w14:paraId="2251F5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光模块厂商（中际旭创、新易盛、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  <w:lang w:val="en-US" w:eastAsia="zh-CN"/>
              </w:rPr>
              <w:t>光迅科技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等）</w:t>
            </w:r>
          </w:p>
          <w:p w14:paraId="1B3A0D0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光器件厂商（天孚通信、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  <w:lang w:val="en-US" w:eastAsia="zh-CN"/>
              </w:rPr>
              <w:t>太辰光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等）</w:t>
            </w:r>
          </w:p>
          <w:p w14:paraId="6ED2034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通信设备厂商（中兴通讯、烽火通信等）</w:t>
            </w:r>
          </w:p>
          <w:p w14:paraId="1CE6EC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PCB厂商（沪电股份、深南电路等）</w:t>
            </w:r>
          </w:p>
          <w:p w14:paraId="5420DA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基础PE（根据行业惯例）</w:t>
            </w:r>
          </w:p>
          <w:p w14:paraId="14F8D0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光芯片：60-80倍（技术壁垒最高，国产替代空间大）</w:t>
            </w:r>
          </w:p>
          <w:p w14:paraId="5169858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光模块：25-35倍（高景气、高增长，但有周期性）</w:t>
            </w:r>
          </w:p>
          <w:p w14:paraId="257FDA2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光器件：30-40倍（细分龙头，盈利稳定）</w:t>
            </w:r>
          </w:p>
          <w:p w14:paraId="164537B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通信设备：15-25倍（体量大但增速慢）</w:t>
            </w:r>
          </w:p>
          <w:p w14:paraId="6346DC0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PCB/连接器：20-30倍（配套环节，跟随行业景气度）</w:t>
            </w:r>
          </w:p>
          <w:p w14:paraId="58340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行业地位判断</w:t>
            </w:r>
          </w:p>
          <w:p w14:paraId="515902E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龙头（市占率前2）：PE上浮10-20%</w:t>
            </w:r>
          </w:p>
          <w:p w14:paraId="197B12A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二线（市占率3-5名）：PE基准</w:t>
            </w:r>
          </w:p>
          <w:p w14:paraId="05657D8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三线及以下：PE下浮10-20%</w:t>
            </w:r>
          </w:p>
          <w:p w14:paraId="0CB4C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 最终PE</w:t>
            </w:r>
          </w:p>
          <w:p w14:paraId="5003B67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基础PE × 行业地位调整系数</w:t>
            </w:r>
          </w:p>
          <w:p w14:paraId="2D9679B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例如：中际旭创 = 光模块25倍 × 龙头溢价1.08 = </w:t>
            </w: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27倍</w:t>
            </w:r>
          </w:p>
          <w:p w14:paraId="0A9FBE6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D2C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0EFC99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盈利预测节点</w:t>
            </w:r>
          </w:p>
        </w:tc>
        <w:tc>
          <w:tcPr>
            <w:tcW w:w="2841" w:type="dxa"/>
          </w:tcPr>
          <w:p w14:paraId="1B087C8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26619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12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696F5B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边际变化识别节点</w:t>
            </w:r>
          </w:p>
        </w:tc>
        <w:tc>
          <w:tcPr>
            <w:tcW w:w="2841" w:type="dxa"/>
          </w:tcPr>
          <w:p w14:paraId="5050A85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0B1EBB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6C8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02F65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个股市值测算节点</w:t>
            </w:r>
          </w:p>
        </w:tc>
        <w:tc>
          <w:tcPr>
            <w:tcW w:w="2841" w:type="dxa"/>
          </w:tcPr>
          <w:p w14:paraId="4E41C37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B38D9F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05BBBB2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5A6AB"/>
    <w:multiLevelType w:val="multilevel"/>
    <w:tmpl w:val="AD25A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86F32C4"/>
    <w:multiLevelType w:val="singleLevel"/>
    <w:tmpl w:val="E86F32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925EE7B"/>
    <w:multiLevelType w:val="multilevel"/>
    <w:tmpl w:val="E925E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5944F45"/>
    <w:multiLevelType w:val="singleLevel"/>
    <w:tmpl w:val="05944F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E6E9716"/>
    <w:multiLevelType w:val="singleLevel"/>
    <w:tmpl w:val="1E6E97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A7B22DE"/>
    <w:multiLevelType w:val="singleLevel"/>
    <w:tmpl w:val="2A7B22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C2592D4"/>
    <w:multiLevelType w:val="multilevel"/>
    <w:tmpl w:val="2C259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6D1B685F"/>
    <w:multiLevelType w:val="multilevel"/>
    <w:tmpl w:val="6D1B6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401BCE"/>
    <w:rsid w:val="4022740E"/>
    <w:rsid w:val="5770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441</Words>
  <Characters>471</Characters>
  <Lines>0</Lines>
  <Paragraphs>0</Paragraphs>
  <TotalTime>28</TotalTime>
  <ScaleCrop>false</ScaleCrop>
  <LinksUpToDate>false</LinksUpToDate>
  <CharactersWithSpaces>483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2026-07-21T07:13:00Z</dcterms:created>
  <dc:creator>BoLo</dc:creator>
  <cp:lastModifiedBy>菠萝</cp:lastModifiedBy>
  <dcterms:modified xsi:type="dcterms:W3CDTF">2026-07-22T03:22:31Z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eyJoZGlkIjoiOTE1YzRlNWFkNTY4NmEzOWU3ZDQxZGU1MWI5NDZjZTEiLCJ1c2VySWQiOiI3MDcxNzkwODQifQ==</vt:lpwstr>
  </property>
  <property fmtid="{D5CDD505-2E9C-101B-9397-08002B2CF9AE}" pid="4" name="ICV">
    <vt:lpwstr>D01E0C81C5DB4517A44F007CE93071DC_12</vt:lpwstr>
  </property>
</Properties>
</file>