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AKULAKU：idpdlold86建模报告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2020-10-13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26230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0.0877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2554.0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3931.0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4242.0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1860.0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12123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215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9874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4233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12123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26230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2301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8.8%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0.524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0.498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0.239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0.356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0.839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0.809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0.668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0.742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616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1722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[387, 430)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[430, 473)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[473, 516)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[516, 559)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[559, 602)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[602, 645)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[645, 688)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[688, 731)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[731, 774)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[774, 818)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[387, 430)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[430, 473)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[473, 516)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[516, 559)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[559, 602)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[602, 645)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[645, 688)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[688, 731)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[731, 774)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[774, 818)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[387, 430)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[430, 473)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[473, 516)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[516, 559)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[559, 602)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[602, 645)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[645, 688)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[688, 731)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[731, 774)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[774, 818)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12123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743700" cy="3365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52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[386.57, 430.0)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[430.0, 473.0)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[473.0, 516.0)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[516.0, 559.0)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0.006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[559.0, 602.0)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[602.0, 645.0)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[645.0, 688.0)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[688.0, 731.0)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[731.0, 774.0)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0.071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[774.0, 817.0)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0.005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0.155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