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Generate Report</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fifth use case of the PSM Assessment System, namely Generate Report. The use case covers the coordinator's dashboard, which summarises the progress, risk and marks of a cohort, and the CSV exports that the coordinator downloads for the faculty. It is specified in Table 4.4, then expressed as a sequence diagram in Figure 4.9 and an activity diagram in Figure 4.10.</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Generate Report answers questions about a whole batch rather than about one project, so every report is built from the same three filters: the batch, the PSM part and the academic semester. The system produces two kinds of output from those filters. The on-screen report returns figures as JSON for the dashboard to render, and the export produces a CSV file. Table 4.5 summarises the use case.</w:t>
      </w:r>
    </w:p>
    <w:p>
      <w:pPr>
        <w:spacing w:line="360" w:lineRule="auto" w:before="0" w:after="200"/>
        <w:jc w:val="center"/>
      </w:pPr>
      <w:r>
        <w:rPr>
          <w:rFonts w:ascii="Times New Roman" w:hAnsi="Times New Roman" w:eastAsia="Times New Roman"/>
          <w:b/>
          <w:sz w:val="24"/>
        </w:rPr>
        <w:t>Table 4.5: Use Case Specification for Generate Report</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UC-04</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Generate Report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Coordinator (primary), Admin.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coordinator selects a batch, a PSM part and a semester, and the system produces cohort analytics. The reports cover cohort progress, students at risk, supervisor and examiner workload, mark distribution and milestone breakdown. The coordinator may also export the grade or project list as a CSV file.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The coordinator is signed in and holds the analytics permission. Projects and assessments exist for the selected filters.</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coordinator opens the Reports screen, or clicks Export.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coordinator opens the Reports screen.</w:t>
              <w:br/>
              <w:t>2. The coordinator chooses the batch, the PSM part and the semester.</w:t>
              <w:br/>
              <w:t>3. The coordinator requests the report.</w:t>
              <w:br/>
              <w:t>4. The system checks the analytics permission.</w:t>
              <w:br/>
              <w:t>5. The system validates the filters and resolves the semester.</w:t>
              <w:br/>
              <w:t>6. The system runs the aggregate query for the chosen filters.</w:t>
              <w:br/>
              <w:t>7. The system computes cohort progress from the milestone statuses.</w:t>
              <w:br/>
              <w:t>8. The system counts submissions awaiting review.</w:t>
              <w:br/>
              <w:t>9. The system identifies the students at risk.</w:t>
              <w:br/>
              <w:t>10. The system computes the mark distribution.</w:t>
              <w:br/>
              <w:t>11. The system builds a rollup for each PSM part.</w:t>
              <w:br/>
              <w:t>12. The system returns the figures as JSON.</w:t>
              <w:br/>
              <w:t>13. The interface renders the tables and charts.</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Permission refused: the system returns 403 Forbidden because the user may not view cohort analytics.</w:t>
              <w:br/>
              <w:t>A2. Invalid filter: the system rejects a semester that does not exist or a PSM part other than PSM1 or PSM2.</w:t>
              <w:br/>
              <w:t>A3. Export chosen: the system checks the export permission, which is narrower than the analytics permission and is limited to coordinators and administrators.</w:t>
              <w:br/>
              <w:t>A4. No released grades: the mark distribution returns empty bands and null statistics rather than zero, because no released mark is not the same as a mark of zero.</w:t>
              <w:br/>
              <w:t>A5. Grade without a final mark: the row is included in the export with a blank verdict rather than marked Fail, and it is excluded from the displayed pass rate.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success, the coordinator sees the figures for the selected filters, or receives a CSV file. Every export is recorded in the audit log with the term, batch and part that were used. No underlying project or assessment data is modified.</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Two rules in Table 4.5 are worth noting because they are easy to get wrong. First, the on-screen pass rate counts released results only (A4), because a withheld mark is not a published one, while the exported spreadsheet deliberately includes provisional rows so that the coordinator has a working extract. The export therefore carries a Status column beside the pass or fail verdict, so that anyone recomputing the rate from the file filters on released rows. Second, a grade with no final mark is left blank rather than marked Fail (A5): no mark is not a failure.</w:t>
      </w:r>
    </w:p>
    <w:p>
      <w:pPr>
        <w:numPr>
          <w:ilvl w:val="0"/>
          <w:numId w:val="0"/>
        </w:numPr>
        <w:pStyle w:val="Heading2"/>
        <w:spacing w:before="240" w:after="200"/>
      </w:pPr>
      <w:r>
        <w:rPr>
          <w:rFonts w:ascii="Times New Roman" w:hAnsi="Times New Roman" w:eastAsia="Times New Roman"/>
          <w:b/>
          <w:sz w:val="24"/>
        </w:rPr>
        <w:t>4.3</w:t>
        <w:tab/>
      </w:r>
      <w:r>
        <w:rPr>
          <w:rFonts w:ascii="Times New Roman" w:hAnsi="Times New Roman" w:eastAsia="Times New Roman"/>
          <w:b/>
          <w:sz w:val="24"/>
        </w:rPr>
        <w:t>Sequence Diagram</w:t>
      </w:r>
    </w:p>
    <w:p>
      <w:pPr>
        <w:spacing w:line="360" w:lineRule="auto" w:before="0" w:after="0"/>
        <w:jc w:val="both"/>
      </w:pPr>
      <w:r>
        <w:rPr>
          <w:rFonts w:ascii="Times New Roman" w:hAnsi="Times New Roman" w:eastAsia="Times New Roman"/>
          <w:b w:val="0"/>
          <w:sz w:val="24"/>
        </w:rPr>
        <w:t>The sequence diagram in Figure 4.9 shows both outputs from the same screen. Five lifelines take part: the coordinator, the reports interface, the report controller, the reporting service, and the grades and milestones the figures are read from. The diagram is divided into the on-screen report and the CSV export.</w:t>
      </w:r>
    </w:p>
    <w:p>
      <w:pPr>
        <w:spacing w:before="120" w:after="40"/>
        <w:jc w:val="center"/>
      </w:pPr>
      <w:r>
        <w:drawing>
          <wp:inline xmlns:a="http://schemas.openxmlformats.org/drawingml/2006/main" xmlns:pic="http://schemas.openxmlformats.org/drawingml/2006/picture">
            <wp:extent cx="5903999" cy="4608734"/>
            <wp:docPr id="1" name="Picture 1"/>
            <wp:cNvGraphicFramePr>
              <a:graphicFrameLocks noChangeAspect="1"/>
            </wp:cNvGraphicFramePr>
            <a:graphic>
              <a:graphicData uri="http://schemas.openxmlformats.org/drawingml/2006/picture">
                <pic:pic>
                  <pic:nvPicPr>
                    <pic:cNvPr id="0" name="sequence_report.png"/>
                    <pic:cNvPicPr/>
                  </pic:nvPicPr>
                  <pic:blipFill>
                    <a:blip r:embed="rId10"/>
                    <a:stretch>
                      <a:fillRect/>
                    </a:stretch>
                  </pic:blipFill>
                  <pic:spPr>
                    <a:xfrm>
                      <a:off x="0" y="0"/>
                      <a:ext cx="5903999" cy="4608734"/>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4.9: Sequence Diagram for Generate Report</w:t>
      </w:r>
    </w:p>
    <w:p>
      <w:pPr>
        <w:spacing w:line="360" w:lineRule="auto" w:before="0" w:after="0"/>
        <w:jc w:val="both"/>
      </w:pPr>
      <w:r>
        <w:rPr>
          <w:rFonts w:ascii="Times New Roman" w:hAnsi="Times New Roman" w:eastAsia="Times New Roman"/>
          <w:b w:val="0"/>
          <w:sz w:val="24"/>
        </w:rPr>
        <w:t>Messages 1 and 2 carry the filter selection to the controller, which checks the analytics permission in message 3 and hands the work to the reporting service in message 4. Message 5 is the service's own work — it aggregates progress, the students at risk, supervisor load and the mark bands in one pass — and message 6 returns the figures the interface renders. Splitting that work into one message per aggregation would say more about the query and less about the flow.</w:t>
      </w:r>
    </w:p>
    <w:p>
      <w:pPr>
        <w:spacing w:line="360" w:lineRule="auto" w:before="0" w:after="0"/>
        <w:jc w:val="both"/>
      </w:pPr>
      <w:r>
        <w:rPr>
          <w:rFonts w:ascii="Times New Roman" w:hAnsi="Times New Roman" w:eastAsia="Times New Roman"/>
          <w:b w:val="0"/>
          <w:sz w:val="24"/>
        </w:rPr>
        <w:t>The lower half is the export. Message 10 is the same filters written to a file, message 11 applies the export permission, which is narrower than the analytics permission, and message 12 logs the export before any row leaves the system. The rows are read in pages rather than all at once, because a full cohort export runs to thousands of lines and the whole set would not fit comfortably in memory.</w:t>
      </w:r>
    </w:p>
    <w:p>
      <w:pPr>
        <w:numPr>
          <w:ilvl w:val="0"/>
          <w:numId w:val="0"/>
        </w:numPr>
        <w:pStyle w:val="Heading2"/>
        <w:spacing w:before="240" w:after="200"/>
      </w:pPr>
      <w:r>
        <w:rPr>
          <w:rFonts w:ascii="Times New Roman" w:hAnsi="Times New Roman" w:eastAsia="Times New Roman"/>
          <w:b/>
          <w:sz w:val="24"/>
        </w:rPr>
        <w:t>4.4</w:t>
        <w:tab/>
      </w:r>
      <w:r>
        <w:rPr>
          <w:rFonts w:ascii="Times New Roman" w:hAnsi="Times New Roman" w:eastAsia="Times New Roman"/>
          <w:b/>
          <w:sz w:val="24"/>
        </w:rPr>
        <w:t>Activity Diagram</w:t>
      </w:r>
    </w:p>
    <w:p>
      <w:pPr>
        <w:spacing w:line="360" w:lineRule="auto" w:before="0" w:after="0"/>
        <w:jc w:val="both"/>
      </w:pPr>
      <w:r>
        <w:rPr>
          <w:rFonts w:ascii="Times New Roman" w:hAnsi="Times New Roman" w:eastAsia="Times New Roman"/>
          <w:b w:val="0"/>
          <w:sz w:val="24"/>
        </w:rPr>
        <w:t>The activity diagram in Figure 4.10 shows the same use case as a workflow. After the permission check, a single decision splits the flow into the on-screen report, which continues down the centre, and the export, which runs to the right. Both converge on one end node.</w:t>
      </w:r>
    </w:p>
    <w:p>
      <w:pPr>
        <w:spacing w:before="120" w:after="40"/>
        <w:jc w:val="center"/>
      </w:pPr>
      <w:r>
        <w:drawing>
          <wp:inline xmlns:a="http://schemas.openxmlformats.org/drawingml/2006/main" xmlns:pic="http://schemas.openxmlformats.org/drawingml/2006/picture">
            <wp:extent cx="5903999" cy="3071336"/>
            <wp:docPr id="2" name="Picture 2"/>
            <wp:cNvGraphicFramePr>
              <a:graphicFrameLocks noChangeAspect="1"/>
            </wp:cNvGraphicFramePr>
            <a:graphic>
              <a:graphicData uri="http://schemas.openxmlformats.org/drawingml/2006/picture">
                <pic:pic>
                  <pic:nvPicPr>
                    <pic:cNvPr id="0" name="activity_report.png"/>
                    <pic:cNvPicPr/>
                  </pic:nvPicPr>
                  <pic:blipFill>
                    <a:blip r:embed="rId11"/>
                    <a:stretch>
                      <a:fillRect/>
                    </a:stretch>
                  </pic:blipFill>
                  <pic:spPr>
                    <a:xfrm>
                      <a:off x="0" y="0"/>
                      <a:ext cx="5903999" cy="3071336"/>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4.10: Activity Diagram for Generate Report</w:t>
      </w:r>
    </w:p>
    <w:p>
      <w:pPr>
        <w:spacing w:line="360" w:lineRule="auto" w:before="0" w:after="0"/>
        <w:jc w:val="both"/>
      </w:pPr>
      <w:r>
        <w:rPr>
          <w:rFonts w:ascii="Times New Roman" w:hAnsi="Times New Roman" w:eastAsia="Times New Roman"/>
          <w:b w:val="0"/>
          <w:sz w:val="24"/>
        </w:rPr>
        <w:t>The first decision is the permission check, which corresponds to alternative flow A1: a user without the analytics permission receives 403 Forbidden and the workflow stops. The action that follows computes every figure in one step, because the individual aggregations are a detail of how the numbers are produced rather than separate steps of the flow. The second decision is the choice of output.</w:t>
      </w:r>
    </w:p>
    <w:p>
      <w:pPr>
        <w:spacing w:line="360" w:lineRule="auto" w:before="0" w:after="0"/>
        <w:jc w:val="both"/>
      </w:pPr>
      <w:r>
        <w:rPr>
          <w:rFonts w:ascii="Times New Roman" w:hAnsi="Times New Roman" w:eastAsia="Times New Roman"/>
          <w:b w:val="0"/>
          <w:sz w:val="24"/>
        </w:rPr>
        <w:t>On the view branch the system renders the tables and charts for the coordinator. On the export branch it writes the CSV in pages and records the export in the audit log, so an extract cannot leave the system without a record of who took it and with which filters.</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Generate Report use case and presented its sequence diagram and activity diagram. The specification defines the actors, a thirteen step main flow, five alternative flows and the post-conditions for both the on-screen report and the export. The sequence diagram shows the two outputs from one screen as message exchanges across five objects, and the activity diagram shows the flow as a workflow with a permission check and a choice of output.</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