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172A"/>
          <w:sz w:val="30"/>
          <w:szCs w:val="30"/>
        </w:rPr>
        <w:t xml:space="preserve">WAZZAR</w:t>
      </w:r>
    </w:p>
    <w:p>
      <w:pPr>
        <w:pBdr>
          <w:bottom w:val="single" w:color="B45309" w:sz="14" w:space="8"/>
        </w:pBdr>
        <w:spacing w:after="40"/>
      </w:pPr>
      <w:r>
        <w:rPr>
          <w:rFonts w:ascii="Calibri" w:cs="Calibri" w:eastAsia="Calibri" w:hAnsi="Calibri"/>
          <w:b/>
          <w:bCs/>
          <w:color w:val="0F172A"/>
          <w:sz w:val="44"/>
          <w:szCs w:val="44"/>
        </w:rPr>
        <w:t xml:space="preserve">Privacy Policy</w:t>
      </w:r>
    </w:p>
    <w:p>
      <w:pPr>
        <w:spacing w:after="40" w:before="160"/>
      </w:pPr>
      <w:r>
        <w:rPr>
          <w:rFonts w:ascii="Calibri" w:cs="Calibri" w:eastAsia="Calibri" w:hAnsi="Calibri"/>
          <w:i/>
          <w:iCs/>
          <w:color w:val="475569"/>
          <w:sz w:val="22"/>
          <w:szCs w:val="22"/>
        </w:rPr>
        <w:t xml:space="preserve">How WAZZAR collects, uses, and protects personal data</w:t>
      </w:r>
    </w:p>
    <w:p>
      <w:pPr>
        <w:spacing w:after="200"/>
      </w:pPr>
      <w:r>
        <w:rPr>
          <w:rFonts w:ascii="Calibri" w:cs="Calibri" w:eastAsia="Calibri" w:hAnsi="Calibri"/>
          <w:color w:val="475569"/>
          <w:sz w:val="20"/>
          <w:szCs w:val="20"/>
        </w:rPr>
        <w:t xml:space="preserve">Effective date: [INSERT DATE]   ·   Version: Draft 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tcBorders>
              <w:top w:val="single" w:color="D97706" w:sz="12"/>
              <w:left w:val="single" w:color="D97706" w:sz="12"/>
              <w:bottom w:val="single" w:color="D97706" w:sz="12"/>
              <w:right w:val="single" w:color="D97706" w:sz="12"/>
            </w:tcBorders>
            <w:shd w:fill="FEF3C7" w:color="auto" w:val="clear"/>
            <w:tcMar>
              <w:top w:type="dxa" w:w="160"/>
              <w:left w:type="dxa" w:w="200"/>
              <w:bottom w:type="dxa" w:w="160"/>
              <w:right w:type="dxa" w:w="200"/>
            </w:tcMar>
          </w:tcPr>
          <w:p>
            <w:pPr>
              <w:spacing w:after="80"/>
            </w:pPr>
            <w:r>
              <w:rPr>
                <w:rFonts w:ascii="Calibri" w:cs="Calibri" w:eastAsia="Calibri" w:hAnsi="Calibri"/>
                <w:b/>
                <w:bCs/>
                <w:color w:val="92400E"/>
                <w:sz w:val="21"/>
                <w:szCs w:val="21"/>
              </w:rPr>
              <w:t xml:space="preserve">IMPORTANT — READ BEFORE USE</w:t>
            </w:r>
          </w:p>
          <w:p>
            <w:pPr>
              <w:spacing w:after="0" w:line="264"/>
            </w:pPr>
            <w:r>
              <w:rPr>
                <w:rFonts w:ascii="Calibri" w:cs="Calibri" w:eastAsia="Calibri" w:hAnsi="Calibri"/>
                <w:color w:val="78350F"/>
                <w:sz w:val="20"/>
                <w:szCs w:val="20"/>
              </w:rPr>
              <w:t xml:space="preserve">This document is an AI-generated starting draft, not legal advice. It is written to align with Tanzania's Personal Data Protection Act, 2022 (Act No. 11 of 2022), but specifics — retention periods, named sub-processors, the Data Protection Officer's details, and PDPC registration status — must be completed and verified before publishing. Have it reviewed by a lawyer qualified in Tanzania alongside the Terms of Service and Rider Partner Agreement, which this Policy is designed to work together with.</w:t>
            </w:r>
          </w:p>
        </w:tc>
      </w:tr>
    </w:tbl>
    <w:p>
      <w:pPr>
        <w:pStyle w:val="Heading1"/>
        <w:spacing w:after="140" w:before="360"/>
      </w:pPr>
      <w:r>
        <w:rPr>
          <w:rFonts w:ascii="Calibri" w:cs="Calibri" w:eastAsia="Calibri" w:hAnsi="Calibri"/>
          <w:b/>
          <w:bCs/>
          <w:color w:val="0F172A"/>
          <w:sz w:val="27"/>
          <w:szCs w:val="27"/>
        </w:rPr>
        <w:t xml:space="preserve">1. Introduction</w:t>
      </w:r>
    </w:p>
    <w:p>
      <w:pPr>
        <w:spacing w:after="140" w:line="276"/>
      </w:pPr>
      <w:r>
        <w:rPr>
          <w:rFonts w:ascii="Calibri" w:cs="Calibri" w:eastAsia="Calibri" w:hAnsi="Calibri"/>
          <w:color w:val="1E293B"/>
          <w:sz w:val="21"/>
          <w:szCs w:val="21"/>
        </w:rPr>
        <w:t xml:space="preserve">This Privacy Policy explains how [Company Legal Name] (“WAZZAR,” “we,” “us”), a company registered in the United Republic of Tanzania under registration number [Registration Number], collects, uses, shares, and protects personal data when you use the WAZZAR Customer app, Rider app, Business dashboard, or website (together, the “Platform”).</w:t>
      </w:r>
    </w:p>
    <w:p>
      <w:pPr>
        <w:spacing w:after="140" w:line="276"/>
      </w:pPr>
      <w:r>
        <w:rPr>
          <w:rFonts w:ascii="Calibri" w:cs="Calibri" w:eastAsia="Calibri" w:hAnsi="Calibri"/>
          <w:color w:val="1E293B"/>
          <w:sz w:val="21"/>
          <w:szCs w:val="21"/>
        </w:rPr>
        <w:t xml:space="preserve">This Policy should be read together with the WAZZAR Terms of Service and, for Riders, the Rider Partner Agreement. It applies to Customers, Riders, Business Account users, and visitors to WAZZAR's website.</w:t>
      </w:r>
    </w:p>
    <w:p>
      <w:pPr>
        <w:pStyle w:val="Heading1"/>
        <w:spacing w:after="140" w:before="360"/>
      </w:pPr>
      <w:r>
        <w:rPr>
          <w:rFonts w:ascii="Calibri" w:cs="Calibri" w:eastAsia="Calibri" w:hAnsi="Calibri"/>
          <w:b/>
          <w:bCs/>
          <w:color w:val="0F172A"/>
          <w:sz w:val="27"/>
          <w:szCs w:val="27"/>
        </w:rPr>
        <w:t xml:space="preserve">2. Data We Collect</w:t>
      </w:r>
    </w:p>
    <w:p>
      <w:pPr>
        <w:spacing w:after="140" w:line="276"/>
      </w:pPr>
      <w:r>
        <w:rPr>
          <w:rFonts w:ascii="Calibri" w:cs="Calibri" w:eastAsia="Calibri" w:hAnsi="Calibri"/>
          <w:color w:val="1E293B"/>
          <w:sz w:val="21"/>
          <w:szCs w:val="21"/>
        </w:rPr>
        <w:t xml:space="preserve">What we collect depends on how you use the Platform: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F172A" w:color="auto"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Category</w:t>
            </w:r>
          </w:p>
        </w:tc>
        <w:tc>
          <w:tcPr>
            <w:tcW w:type="dxa" w:w="6900"/>
            <w:shd w:fill="0F172A" w:color="auto"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Examples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Identity data</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Name, profile photo. (Date of birth is not currently collected.)</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Contact data</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Phone number, email address.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Verification data (Riders)</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National ID, motorcycle riding licence, vehicle registration, insurance documents.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Location data</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Pickup and drop-off addresses; live GPS location during an active delivery.</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Payment data</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Mobile money account reference, payment card token, transaction history. WAZZAR does not store full card numbers — these are handled by our payment processor.</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Delivery content</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Package category, size, photos, and delivery instructions you provide.</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Communications</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In-app chat between Customer and Rider, and Support ticket contents.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Device and usage data</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Device type, app version, IP address, crash logs, general usage analytics.</w:t>
            </w:r>
          </w:p>
        </w:tc>
      </w:tr>
    </w:tbl>
    <w:p>
      <w:pPr>
        <w:pStyle w:val="Heading1"/>
        <w:spacing w:after="140" w:before="360"/>
      </w:pPr>
      <w:r>
        <w:rPr>
          <w:rFonts w:ascii="Calibri" w:cs="Calibri" w:eastAsia="Calibri" w:hAnsi="Calibri"/>
          <w:b/>
          <w:bCs/>
          <w:color w:val="0F172A"/>
          <w:sz w:val="27"/>
          <w:szCs w:val="27"/>
        </w:rPr>
        <w:t xml:space="preserve">3. How We Collect Data</w:t>
      </w:r>
    </w:p>
    <w:p>
      <w:pPr>
        <w:pStyle w:val="ListParagraph"/>
        <w:numPr>
          <w:ilvl w:val="0"/>
          <w:numId w:val="2"/>
        </w:numPr>
        <w:spacing w:after="80" w:line="264"/>
      </w:pPr>
      <w:r>
        <w:rPr>
          <w:rFonts w:ascii="Calibri" w:cs="Calibri" w:eastAsia="Calibri" w:hAnsi="Calibri"/>
          <w:color w:val="1E293B"/>
          <w:sz w:val="21"/>
          <w:szCs w:val="21"/>
        </w:rPr>
        <w:t xml:space="preserve">Directly from you — when you register, place a delivery, verify your identity, or contact Support.</w:t>
      </w:r>
    </w:p>
    <w:p>
      <w:pPr>
        <w:pStyle w:val="ListParagraph"/>
        <w:numPr>
          <w:ilvl w:val="0"/>
          <w:numId w:val="2"/>
        </w:numPr>
        <w:spacing w:after="80" w:line="264"/>
      </w:pPr>
      <w:r>
        <w:rPr>
          <w:rFonts w:ascii="Calibri" w:cs="Calibri" w:eastAsia="Calibri" w:hAnsi="Calibri"/>
          <w:color w:val="1E293B"/>
          <w:sz w:val="21"/>
          <w:szCs w:val="21"/>
        </w:rPr>
        <w:t xml:space="preserve">Automatically — through your use of the app (location during deliveries, device and usage data).</w:t>
      </w:r>
    </w:p>
    <w:p>
      <w:pPr>
        <w:pStyle w:val="ListParagraph"/>
        <w:numPr>
          <w:ilvl w:val="0"/>
          <w:numId w:val="2"/>
        </w:numPr>
        <w:spacing w:after="80" w:line="264"/>
      </w:pPr>
      <w:r>
        <w:rPr>
          <w:rFonts w:ascii="Calibri" w:cs="Calibri" w:eastAsia="Calibri" w:hAnsi="Calibri"/>
          <w:color w:val="1E293B"/>
          <w:sz w:val="21"/>
          <w:szCs w:val="21"/>
        </w:rPr>
        <w:t xml:space="preserve">From third parties — in Phase 1, payment providers (M-Pesa, Stripe) are mocked and no live transaction confirmations are exchanged with real third parties; no identity-verification/document-check provider is integrated yet. Both are planned for a later phase and this section will be updated when live integrations go in.</w:t>
      </w:r>
    </w:p>
    <w:p>
      <w:pPr>
        <w:pStyle w:val="Heading1"/>
        <w:spacing w:after="140" w:before="360"/>
      </w:pPr>
      <w:r>
        <w:rPr>
          <w:rFonts w:ascii="Calibri" w:cs="Calibri" w:eastAsia="Calibri" w:hAnsi="Calibri"/>
          <w:b/>
          <w:bCs/>
          <w:color w:val="0F172A"/>
          <w:sz w:val="27"/>
          <w:szCs w:val="27"/>
        </w:rPr>
        <w:t xml:space="preserve">4. How We Use Personal Data</w:t>
      </w:r>
    </w:p>
    <w:p>
      <w:pPr>
        <w:pStyle w:val="ListParagraph"/>
        <w:numPr>
          <w:ilvl w:val="0"/>
          <w:numId w:val="2"/>
        </w:numPr>
        <w:spacing w:after="80" w:line="264"/>
      </w:pPr>
      <w:r>
        <w:rPr>
          <w:rFonts w:ascii="Calibri" w:cs="Calibri" w:eastAsia="Calibri" w:hAnsi="Calibri"/>
          <w:color w:val="1E293B"/>
          <w:sz w:val="21"/>
          <w:szCs w:val="21"/>
        </w:rPr>
        <w:t xml:space="preserve">To provide the service — matching Customers with Riders, tracking deliveries, and processing payments.</w:t>
      </w:r>
    </w:p>
    <w:p>
      <w:pPr>
        <w:pStyle w:val="ListParagraph"/>
        <w:numPr>
          <w:ilvl w:val="0"/>
          <w:numId w:val="2"/>
        </w:numPr>
        <w:spacing w:after="80" w:line="264"/>
      </w:pPr>
      <w:r>
        <w:rPr>
          <w:rFonts w:ascii="Calibri" w:cs="Calibri" w:eastAsia="Calibri" w:hAnsi="Calibri"/>
          <w:color w:val="1E293B"/>
          <w:sz w:val="21"/>
          <w:szCs w:val="21"/>
        </w:rPr>
        <w:t xml:space="preserve">To verify identity and eligibility — particularly for Rider onboarding.</w:t>
      </w:r>
    </w:p>
    <w:p>
      <w:pPr>
        <w:pStyle w:val="ListParagraph"/>
        <w:numPr>
          <w:ilvl w:val="0"/>
          <w:numId w:val="2"/>
        </w:numPr>
        <w:spacing w:after="80" w:line="264"/>
      </w:pPr>
      <w:r>
        <w:rPr>
          <w:rFonts w:ascii="Calibri" w:cs="Calibri" w:eastAsia="Calibri" w:hAnsi="Calibri"/>
          <w:color w:val="1E293B"/>
          <w:sz w:val="21"/>
          <w:szCs w:val="21"/>
        </w:rPr>
        <w:t xml:space="preserve">For safety and trust — fraud detection, dispute investigation, and incident response.</w:t>
      </w:r>
    </w:p>
    <w:p>
      <w:pPr>
        <w:pStyle w:val="ListParagraph"/>
        <w:numPr>
          <w:ilvl w:val="0"/>
          <w:numId w:val="2"/>
        </w:numPr>
        <w:spacing w:after="80" w:line="264"/>
      </w:pPr>
      <w:r>
        <w:rPr>
          <w:rFonts w:ascii="Calibri" w:cs="Calibri" w:eastAsia="Calibri" w:hAnsi="Calibri"/>
          <w:color w:val="1E293B"/>
          <w:sz w:val="21"/>
          <w:szCs w:val="21"/>
        </w:rPr>
        <w:t xml:space="preserve">For customer support — responding to queries and resolving complaints.</w:t>
      </w:r>
    </w:p>
    <w:p>
      <w:pPr>
        <w:pStyle w:val="ListParagraph"/>
        <w:numPr>
          <w:ilvl w:val="0"/>
          <w:numId w:val="2"/>
        </w:numPr>
        <w:spacing w:after="80" w:line="264"/>
      </w:pPr>
      <w:r>
        <w:rPr>
          <w:rFonts w:ascii="Calibri" w:cs="Calibri" w:eastAsia="Calibri" w:hAnsi="Calibri"/>
          <w:color w:val="1E293B"/>
          <w:sz w:val="21"/>
          <w:szCs w:val="21"/>
        </w:rPr>
        <w:t xml:space="preserve">For product improvement — understanding usage patterns and app performance.</w:t>
      </w:r>
    </w:p>
    <w:p>
      <w:pPr>
        <w:pStyle w:val="ListParagraph"/>
        <w:numPr>
          <w:ilvl w:val="0"/>
          <w:numId w:val="2"/>
        </w:numPr>
        <w:spacing w:after="80" w:line="264"/>
      </w:pPr>
      <w:r>
        <w:rPr>
          <w:rFonts w:ascii="Calibri" w:cs="Calibri" w:eastAsia="Calibri" w:hAnsi="Calibri"/>
          <w:color w:val="1E293B"/>
          <w:sz w:val="21"/>
          <w:szCs w:val="21"/>
        </w:rPr>
        <w:t xml:space="preserve">To meet legal obligations — tax, regulatory, and law enforcement requirements.</w:t>
      </w:r>
    </w:p>
    <w:p>
      <w:pPr>
        <w:pStyle w:val="ListParagraph"/>
        <w:numPr>
          <w:ilvl w:val="0"/>
          <w:numId w:val="2"/>
        </w:numPr>
        <w:spacing w:after="80" w:line="264"/>
      </w:pPr>
      <w:r>
        <w:rPr>
          <w:rFonts w:ascii="Calibri" w:cs="Calibri" w:eastAsia="Calibri" w:hAnsi="Calibri"/>
          <w:color w:val="1E293B"/>
          <w:sz w:val="21"/>
          <w:szCs w:val="21"/>
        </w:rPr>
        <w:t xml:space="preserve">For marketing — only where you have opted in; you can opt out at any time.</w:t>
      </w:r>
    </w:p>
    <w:p>
      <w:pPr>
        <w:pStyle w:val="Heading1"/>
        <w:spacing w:after="140" w:before="360"/>
      </w:pPr>
      <w:r>
        <w:rPr>
          <w:rFonts w:ascii="Calibri" w:cs="Calibri" w:eastAsia="Calibri" w:hAnsi="Calibri"/>
          <w:b/>
          <w:bCs/>
          <w:color w:val="0F172A"/>
          <w:sz w:val="27"/>
          <w:szCs w:val="27"/>
        </w:rPr>
        <w:t xml:space="preserve">5. Legal Basis for Processing</w:t>
      </w:r>
    </w:p>
    <w:p>
      <w:pPr>
        <w:spacing w:after="140" w:line="276"/>
      </w:pPr>
      <w:r>
        <w:rPr>
          <w:rFonts w:ascii="Calibri" w:cs="Calibri" w:eastAsia="Calibri" w:hAnsi="Calibri"/>
          <w:color w:val="1E293B"/>
          <w:sz w:val="21"/>
          <w:szCs w:val="21"/>
        </w:rPr>
        <w:t xml:space="preserve">Under the Personal Data Protection Act, 2022, WAZZAR processes personal data on one or more of the following bases: performance of a contract with you (delivering the service you requested), your consent (for example, optional marketing communications), compliance with a legal obligation, and WAZZAR's legitimate interests in operating a safe and reliable Platform, balanced against your rights.</w:t>
      </w:r>
    </w:p>
    <w:p>
      <w:pPr>
        <w:pStyle w:val="Heading1"/>
        <w:spacing w:after="140" w:before="360"/>
      </w:pPr>
      <w:r>
        <w:rPr>
          <w:rFonts w:ascii="Calibri" w:cs="Calibri" w:eastAsia="Calibri" w:hAnsi="Calibri"/>
          <w:b/>
          <w:bCs/>
          <w:color w:val="0F172A"/>
          <w:sz w:val="27"/>
          <w:szCs w:val="27"/>
        </w:rPr>
        <w:t xml:space="preserve">6. Location Data</w:t>
      </w:r>
    </w:p>
    <w:p>
      <w:pPr>
        <w:spacing w:after="140" w:line="276"/>
      </w:pPr>
      <w:r>
        <w:rPr>
          <w:rFonts w:ascii="Calibri" w:cs="Calibri" w:eastAsia="Calibri" w:hAnsi="Calibri"/>
          <w:color w:val="1E293B"/>
          <w:sz w:val="21"/>
          <w:szCs w:val="21"/>
        </w:rPr>
        <w:t xml:space="preserve">A Rider's live location is shared with a Customer only for the duration of that Customer's active delivery, and stops being shared once the delivery is completed or cancelled. Historical delivery location data (pickup and drop-off points) is retained as part of the delivery record for the periods described in Section 9.</w:t>
      </w:r>
    </w:p>
    <w:p>
      <w:pPr>
        <w:pStyle w:val="Heading1"/>
        <w:spacing w:after="140" w:before="360"/>
      </w:pPr>
      <w:r>
        <w:rPr>
          <w:rFonts w:ascii="Calibri" w:cs="Calibri" w:eastAsia="Calibri" w:hAnsi="Calibri"/>
          <w:b/>
          <w:bCs/>
          <w:color w:val="0F172A"/>
          <w:sz w:val="27"/>
          <w:szCs w:val="27"/>
        </w:rPr>
        <w:t xml:space="preserve">7. How We Share Personal Data</w:t>
      </w:r>
    </w:p>
    <w:p>
      <w:pPr>
        <w:spacing w:after="140" w:line="276"/>
      </w:pPr>
      <w:r>
        <w:rPr>
          <w:rFonts w:ascii="Calibri" w:cs="Calibri" w:eastAsia="Calibri" w:hAnsi="Calibri"/>
          <w:color w:val="1E293B"/>
          <w:sz w:val="21"/>
          <w:szCs w:val="21"/>
        </w:rPr>
        <w:t xml:space="preserve">We do not sell personal data. We share it only in the following circumstances:</w:t>
      </w:r>
    </w:p>
    <w:p>
      <w:pPr>
        <w:pStyle w:val="ListParagraph"/>
        <w:numPr>
          <w:ilvl w:val="0"/>
          <w:numId w:val="2"/>
        </w:numPr>
        <w:spacing w:after="80" w:line="264"/>
      </w:pPr>
      <w:r>
        <w:rPr>
          <w:rFonts w:ascii="Calibri" w:cs="Calibri" w:eastAsia="Calibri" w:hAnsi="Calibri"/>
          <w:color w:val="1E293B"/>
          <w:sz w:val="21"/>
          <w:szCs w:val="21"/>
        </w:rPr>
        <w:t xml:space="preserve">Between Customer and Rider — the minimum contact and location details needed to complete a specific delivery (for example, name, phone number, pickup/drop-off location).</w:t>
      </w:r>
    </w:p>
    <w:p>
      <w:pPr>
        <w:pStyle w:val="ListParagraph"/>
        <w:numPr>
          <w:ilvl w:val="0"/>
          <w:numId w:val="2"/>
        </w:numPr>
        <w:spacing w:after="80" w:line="264"/>
      </w:pPr>
      <w:r>
        <w:rPr>
          <w:rFonts w:ascii="Calibri" w:cs="Calibri" w:eastAsia="Calibri" w:hAnsi="Calibri"/>
          <w:color w:val="1E293B"/>
          <w:sz w:val="21"/>
          <w:szCs w:val="21"/>
        </w:rPr>
        <w:t xml:space="preserve">Service providers — cloud hosting, payment processors, mobile money providers, SMS/push notification providers, and identity verification providers, acting on our instructions and bound by confidentiality and data protection obligations.</w:t>
      </w:r>
    </w:p>
    <w:p>
      <w:pPr>
        <w:pStyle w:val="ListParagraph"/>
        <w:numPr>
          <w:ilvl w:val="0"/>
          <w:numId w:val="2"/>
        </w:numPr>
        <w:spacing w:after="80" w:line="264"/>
      </w:pPr>
      <w:r>
        <w:rPr>
          <w:rFonts w:ascii="Calibri" w:cs="Calibri" w:eastAsia="Calibri" w:hAnsi="Calibri"/>
          <w:color w:val="1E293B"/>
          <w:sz w:val="21"/>
          <w:szCs w:val="21"/>
        </w:rPr>
        <w:t xml:space="preserve">Legal and regulatory — where required by law, court order, or a lawful request from a competent authority, including the Personal Data Protection Commission (PDPC).</w:t>
      </w:r>
    </w:p>
    <w:p>
      <w:pPr>
        <w:pStyle w:val="ListParagraph"/>
        <w:numPr>
          <w:ilvl w:val="0"/>
          <w:numId w:val="2"/>
        </w:numPr>
        <w:spacing w:after="80" w:line="264"/>
      </w:pPr>
      <w:r>
        <w:rPr>
          <w:rFonts w:ascii="Calibri" w:cs="Calibri" w:eastAsia="Calibri" w:hAnsi="Calibri"/>
          <w:color w:val="1E293B"/>
          <w:sz w:val="21"/>
          <w:szCs w:val="21"/>
        </w:rPr>
        <w:t xml:space="preserve">Business transfers — in connection with a merger, acquisition, or sale of assets, subject to continued protection of your data under this Policy or its successor.</w:t>
      </w:r>
    </w:p>
    <w:p>
      <w:pPr>
        <w:pStyle w:val="Heading1"/>
        <w:spacing w:after="140" w:before="360"/>
      </w:pPr>
      <w:r>
        <w:rPr>
          <w:rFonts w:ascii="Calibri" w:cs="Calibri" w:eastAsia="Calibri" w:hAnsi="Calibri"/>
          <w:b/>
          <w:bCs/>
          <w:color w:val="0F172A"/>
          <w:sz w:val="27"/>
          <w:szCs w:val="27"/>
        </w:rPr>
        <w:t xml:space="preserve">8. Cross-Border Data Transfers</w:t>
      </w:r>
    </w:p>
    <w:p>
      <w:pPr>
        <w:spacing w:after="140" w:line="276"/>
      </w:pPr>
      <w:r>
        <w:rPr>
          <w:rFonts w:ascii="Calibri" w:cs="Calibri" w:eastAsia="Calibri" w:hAnsi="Calibri"/>
          <w:color w:val="1E293B"/>
          <w:sz w:val="21"/>
          <w:szCs w:val="21"/>
        </w:rPr>
        <w:t xml:space="preserve">Where personal data is processed or stored outside Tanzania — for example, through cloud infrastructure providers — WAZZAR will only do so in a manner consistent with the cross-border transfer requirements of the Personal Data Protection Act, 2022, such as ensuring the recipient country or organisation provides an adequate level of protection or that appropriate contractual safeguards are in place.</w:t>
      </w:r>
    </w:p>
    <w:p>
      <w:pPr>
        <w:pStyle w:val="Heading1"/>
        <w:spacing w:after="140" w:before="360"/>
      </w:pPr>
      <w:r>
        <w:rPr>
          <w:rFonts w:ascii="Calibri" w:cs="Calibri" w:eastAsia="Calibri" w:hAnsi="Calibri"/>
          <w:b/>
          <w:bCs/>
          <w:color w:val="0F172A"/>
          <w:sz w:val="27"/>
          <w:szCs w:val="27"/>
        </w:rPr>
        <w:t xml:space="preserve">9. Data Retention</w:t>
      </w:r>
    </w:p>
    <w:p>
      <w:pPr>
        <w:spacing w:after="140" w:line="276"/>
      </w:pPr>
      <w:r>
        <w:rPr>
          <w:rFonts w:ascii="Calibri" w:cs="Calibri" w:eastAsia="Calibri" w:hAnsi="Calibri"/>
          <w:color w:val="1E293B"/>
          <w:sz w:val="21"/>
          <w:szCs w:val="21"/>
        </w:rPr>
        <w:t xml:space="preserve">We retain personal data for as long as your account is active, and for a further period afterward as needed to resolve disputes, meet tax and regulatory record-keeping obligations, and enforce our agreements. [Insert specific retention periods per data category — for example, delivery records for X years, ID verification documents for Y years — once confirmed against applicable Tanzanian record-keeping requirements.] Where retention is no longer necessary, data is deleted or anonymised.</w:t>
      </w:r>
    </w:p>
    <w:p>
      <w:pPr>
        <w:pStyle w:val="Heading1"/>
        <w:spacing w:after="140" w:before="360"/>
      </w:pPr>
      <w:r>
        <w:rPr>
          <w:rFonts w:ascii="Calibri" w:cs="Calibri" w:eastAsia="Calibri" w:hAnsi="Calibri"/>
          <w:b/>
          <w:bCs/>
          <w:color w:val="0F172A"/>
          <w:sz w:val="27"/>
          <w:szCs w:val="27"/>
        </w:rPr>
        <w:t xml:space="preserve">10. Data Security</w:t>
      </w:r>
    </w:p>
    <w:p>
      <w:pPr>
        <w:spacing w:after="140" w:line="276"/>
      </w:pPr>
      <w:r>
        <w:rPr>
          <w:rFonts w:ascii="Calibri" w:cs="Calibri" w:eastAsia="Calibri" w:hAnsi="Calibri"/>
          <w:color w:val="1E293B"/>
          <w:sz w:val="21"/>
          <w:szCs w:val="21"/>
        </w:rPr>
        <w:t xml:space="preserve">We apply technical and organisational measures to protect personal data, including encryption of data in transit and at rest, role-based access controls limiting who within WAZZAR can view sensitive data, and audit logging of access to administrative systems. No system is completely secure, and we encourage you to also protect your own account credentials.</w:t>
      </w:r>
    </w:p>
    <w:p>
      <w:pPr>
        <w:pStyle w:val="Heading1"/>
        <w:spacing w:after="140" w:before="360"/>
      </w:pPr>
      <w:r>
        <w:rPr>
          <w:rFonts w:ascii="Calibri" w:cs="Calibri" w:eastAsia="Calibri" w:hAnsi="Calibri"/>
          <w:b/>
          <w:bCs/>
          <w:color w:val="0F172A"/>
          <w:sz w:val="27"/>
          <w:szCs w:val="27"/>
        </w:rPr>
        <w:t xml:space="preserve">11. Your Rights</w:t>
      </w:r>
    </w:p>
    <w:p>
      <w:pPr>
        <w:spacing w:after="140" w:line="276"/>
      </w:pPr>
      <w:r>
        <w:rPr>
          <w:rFonts w:ascii="Calibri" w:cs="Calibri" w:eastAsia="Calibri" w:hAnsi="Calibri"/>
          <w:color w:val="1E293B"/>
          <w:sz w:val="21"/>
          <w:szCs w:val="21"/>
        </w:rPr>
        <w:t xml:space="preserve">Subject to the Personal Data Protection Act, 2022, you may have the right to:</w:t>
      </w:r>
    </w:p>
    <w:p>
      <w:pPr>
        <w:pStyle w:val="ListParagraph"/>
        <w:numPr>
          <w:ilvl w:val="0"/>
          <w:numId w:val="2"/>
        </w:numPr>
        <w:spacing w:after="80" w:line="264"/>
      </w:pPr>
      <w:r>
        <w:rPr>
          <w:rFonts w:ascii="Calibri" w:cs="Calibri" w:eastAsia="Calibri" w:hAnsi="Calibri"/>
          <w:color w:val="1E293B"/>
          <w:sz w:val="21"/>
          <w:szCs w:val="21"/>
        </w:rPr>
        <w:t xml:space="preserve">Access the personal data we hold about you.</w:t>
      </w:r>
    </w:p>
    <w:p>
      <w:pPr>
        <w:pStyle w:val="ListParagraph"/>
        <w:numPr>
          <w:ilvl w:val="0"/>
          <w:numId w:val="2"/>
        </w:numPr>
        <w:spacing w:after="80" w:line="264"/>
      </w:pPr>
      <w:r>
        <w:rPr>
          <w:rFonts w:ascii="Calibri" w:cs="Calibri" w:eastAsia="Calibri" w:hAnsi="Calibri"/>
          <w:color w:val="1E293B"/>
          <w:sz w:val="21"/>
          <w:szCs w:val="21"/>
        </w:rPr>
        <w:t xml:space="preserve">Request correction of inaccurate or incomplete data.</w:t>
      </w:r>
    </w:p>
    <w:p>
      <w:pPr>
        <w:pStyle w:val="ListParagraph"/>
        <w:numPr>
          <w:ilvl w:val="0"/>
          <w:numId w:val="2"/>
        </w:numPr>
        <w:spacing w:after="80" w:line="264"/>
      </w:pPr>
      <w:r>
        <w:rPr>
          <w:rFonts w:ascii="Calibri" w:cs="Calibri" w:eastAsia="Calibri" w:hAnsi="Calibri"/>
          <w:color w:val="1E293B"/>
          <w:sz w:val="21"/>
          <w:szCs w:val="21"/>
        </w:rPr>
        <w:t xml:space="preserve">Request deletion of your data, subject to our legal retention obligations.</w:t>
      </w:r>
    </w:p>
    <w:p>
      <w:pPr>
        <w:pStyle w:val="ListParagraph"/>
        <w:numPr>
          <w:ilvl w:val="0"/>
          <w:numId w:val="2"/>
        </w:numPr>
        <w:spacing w:after="80" w:line="264"/>
      </w:pPr>
      <w:r>
        <w:rPr>
          <w:rFonts w:ascii="Calibri" w:cs="Calibri" w:eastAsia="Calibri" w:hAnsi="Calibri"/>
          <w:color w:val="1E293B"/>
          <w:sz w:val="21"/>
          <w:szCs w:val="21"/>
        </w:rPr>
        <w:t xml:space="preserve">Object to or request restriction of certain processing.</w:t>
      </w:r>
    </w:p>
    <w:p>
      <w:pPr>
        <w:pStyle w:val="ListParagraph"/>
        <w:numPr>
          <w:ilvl w:val="0"/>
          <w:numId w:val="2"/>
        </w:numPr>
        <w:spacing w:after="80" w:line="264"/>
      </w:pPr>
      <w:r>
        <w:rPr>
          <w:rFonts w:ascii="Calibri" w:cs="Calibri" w:eastAsia="Calibri" w:hAnsi="Calibri"/>
          <w:color w:val="1E293B"/>
          <w:sz w:val="21"/>
          <w:szCs w:val="21"/>
        </w:rPr>
        <w:t xml:space="preserve">Withdraw consent where processing is based on consent, such as marketing.</w:t>
      </w:r>
    </w:p>
    <w:p>
      <w:pPr>
        <w:pStyle w:val="ListParagraph"/>
        <w:numPr>
          <w:ilvl w:val="0"/>
          <w:numId w:val="2"/>
        </w:numPr>
        <w:spacing w:after="80" w:line="264"/>
      </w:pPr>
      <w:r>
        <w:rPr>
          <w:rFonts w:ascii="Calibri" w:cs="Calibri" w:eastAsia="Calibri" w:hAnsi="Calibri"/>
          <w:color w:val="1E293B"/>
          <w:sz w:val="21"/>
          <w:szCs w:val="21"/>
        </w:rPr>
        <w:t xml:space="preserve">Lodge a complaint with the Personal Data Protection Commission (PDPC).</w:t>
      </w:r>
    </w:p>
    <w:p>
      <w:pPr>
        <w:spacing w:after="140" w:line="276"/>
      </w:pPr>
      <w:r>
        <w:rPr>
          <w:rFonts w:ascii="Calibri" w:cs="Calibri" w:eastAsia="Calibri" w:hAnsi="Calibri"/>
          <w:color w:val="1E293B"/>
          <w:sz w:val="21"/>
          <w:szCs w:val="21"/>
        </w:rPr>
        <w:t xml:space="preserve">To exercise these rights, contact us using the details in Section 15.</w:t>
      </w:r>
    </w:p>
    <w:p>
      <w:pPr>
        <w:pStyle w:val="Heading1"/>
        <w:spacing w:after="140" w:before="360"/>
      </w:pPr>
      <w:r>
        <w:rPr>
          <w:rFonts w:ascii="Calibri" w:cs="Calibri" w:eastAsia="Calibri" w:hAnsi="Calibri"/>
          <w:b/>
          <w:bCs/>
          <w:color w:val="0F172A"/>
          <w:sz w:val="27"/>
          <w:szCs w:val="27"/>
        </w:rPr>
        <w:t xml:space="preserve">12. Children's Privacy</w:t>
      </w:r>
    </w:p>
    <w:p>
      <w:pPr>
        <w:spacing w:after="140" w:line="276"/>
      </w:pPr>
      <w:r>
        <w:rPr>
          <w:rFonts w:ascii="Calibri" w:cs="Calibri" w:eastAsia="Calibri" w:hAnsi="Calibri"/>
          <w:color w:val="1E293B"/>
          <w:sz w:val="21"/>
          <w:szCs w:val="21"/>
        </w:rPr>
        <w:t xml:space="preserve">The Platform is not intended for individuals under 18 years of age, consistent with the eligibility requirement in our Terms of Service. We do not knowingly collect personal data from children.</w:t>
      </w:r>
    </w:p>
    <w:p>
      <w:pPr>
        <w:pStyle w:val="Heading1"/>
        <w:spacing w:after="140" w:before="360"/>
      </w:pPr>
      <w:r>
        <w:rPr>
          <w:rFonts w:ascii="Calibri" w:cs="Calibri" w:eastAsia="Calibri" w:hAnsi="Calibri"/>
          <w:b/>
          <w:bCs/>
          <w:color w:val="0F172A"/>
          <w:sz w:val="27"/>
          <w:szCs w:val="27"/>
        </w:rPr>
        <w:t xml:space="preserve">13. Cookies and Similar Technologies</w:t>
      </w:r>
    </w:p>
    <w:p>
      <w:pPr>
        <w:spacing w:after="140" w:line="276"/>
      </w:pPr>
      <w:r>
        <w:rPr>
          <w:rFonts w:ascii="Calibri" w:cs="Calibri" w:eastAsia="Calibri" w:hAnsi="Calibri"/>
          <w:color w:val="1E293B"/>
          <w:sz w:val="21"/>
          <w:szCs w:val="21"/>
        </w:rPr>
        <w:t xml:space="preserve">Our website and Business/Admin dashboards may use cookies or similar technologies for authentication, session management, and analytics. [Insert detail on cookie categories and any cookie-consent mechanism used, once the web properties are built.]</w:t>
      </w:r>
    </w:p>
    <w:p>
      <w:pPr>
        <w:pStyle w:val="Heading1"/>
        <w:spacing w:after="140" w:before="360"/>
      </w:pPr>
      <w:r>
        <w:rPr>
          <w:rFonts w:ascii="Calibri" w:cs="Calibri" w:eastAsia="Calibri" w:hAnsi="Calibri"/>
          <w:b/>
          <w:bCs/>
          <w:color w:val="0F172A"/>
          <w:sz w:val="27"/>
          <w:szCs w:val="27"/>
        </w:rPr>
        <w:t xml:space="preserve">14. Data Breach Notification</w:t>
      </w:r>
    </w:p>
    <w:p>
      <w:pPr>
        <w:spacing w:after="140" w:line="276"/>
      </w:pPr>
      <w:r>
        <w:rPr>
          <w:rFonts w:ascii="Calibri" w:cs="Calibri" w:eastAsia="Calibri" w:hAnsi="Calibri"/>
          <w:color w:val="1E293B"/>
          <w:sz w:val="21"/>
          <w:szCs w:val="21"/>
        </w:rPr>
        <w:t xml:space="preserve">In the event of a personal data breach likely to result in a risk to your rights, WAZZAR will notify the PDPC and affected individuals in accordance with the timelines and requirements of the Personal Data Protection Act, 2022.</w:t>
      </w:r>
    </w:p>
    <w:p>
      <w:pPr>
        <w:pStyle w:val="Heading1"/>
        <w:spacing w:after="140" w:before="360"/>
      </w:pPr>
      <w:r>
        <w:rPr>
          <w:rFonts w:ascii="Calibri" w:cs="Calibri" w:eastAsia="Calibri" w:hAnsi="Calibri"/>
          <w:b/>
          <w:bCs/>
          <w:color w:val="0F172A"/>
          <w:sz w:val="27"/>
          <w:szCs w:val="27"/>
        </w:rPr>
        <w:t xml:space="preserve">15. Contact Us and Data Protection Officer</w:t>
      </w:r>
    </w:p>
    <w:p>
      <w:pPr>
        <w:spacing w:after="140" w:line="276"/>
      </w:pPr>
      <w:r>
        <w:rPr>
          <w:rFonts w:ascii="Calibri" w:cs="Calibri" w:eastAsia="Calibri" w:hAnsi="Calibri"/>
          <w:color w:val="1E293B"/>
          <w:sz w:val="21"/>
          <w:szCs w:val="21"/>
        </w:rPr>
        <w:t xml:space="preserve">Questions, requests, or complaints about this Policy or your personal data can be directed to [Data Protection Officer Name/Role], [DPO Email], or [Support Email].</w:t>
      </w:r>
    </w:p>
    <w:p>
      <w:pPr>
        <w:pStyle w:val="Heading1"/>
        <w:spacing w:after="140" w:before="360"/>
      </w:pPr>
      <w:r>
        <w:rPr>
          <w:rFonts w:ascii="Calibri" w:cs="Calibri" w:eastAsia="Calibri" w:hAnsi="Calibri"/>
          <w:b/>
          <w:bCs/>
          <w:color w:val="0F172A"/>
          <w:sz w:val="27"/>
          <w:szCs w:val="27"/>
        </w:rPr>
        <w:t xml:space="preserve">16. Changes to This Policy</w:t>
      </w:r>
    </w:p>
    <w:p>
      <w:pPr>
        <w:spacing w:after="140" w:line="276"/>
      </w:pPr>
      <w:r>
        <w:rPr>
          <w:rFonts w:ascii="Calibri" w:cs="Calibri" w:eastAsia="Calibri" w:hAnsi="Calibri"/>
          <w:color w:val="1E293B"/>
          <w:sz w:val="21"/>
          <w:szCs w:val="21"/>
        </w:rPr>
        <w:t xml:space="preserve">We may update this Policy from time to time. Material changes will be notified in-app or by other reasonable means before they take effect. The “Effective date” at the top of this Policy shows when it was last updated.</w:t>
      </w:r>
    </w:p>
    <w:p>
      <w:pPr>
        <w:pStyle w:val="Heading1"/>
        <w:spacing w:after="140" w:before="360"/>
      </w:pPr>
      <w:r>
        <w:rPr>
          <w:rFonts w:ascii="Calibri" w:cs="Calibri" w:eastAsia="Calibri" w:hAnsi="Calibri"/>
          <w:b/>
          <w:bCs/>
          <w:color w:val="0F172A"/>
          <w:sz w:val="27"/>
          <w:szCs w:val="27"/>
        </w:rPr>
        <w:t xml:space="preserve">17. Governing Law</w:t>
      </w:r>
    </w:p>
    <w:p>
      <w:pPr>
        <w:spacing w:after="140" w:line="276"/>
      </w:pPr>
      <w:r>
        <w:rPr>
          <w:rFonts w:ascii="Calibri" w:cs="Calibri" w:eastAsia="Calibri" w:hAnsi="Calibri"/>
          <w:color w:val="1E293B"/>
          <w:sz w:val="21"/>
          <w:szCs w:val="21"/>
        </w:rPr>
        <w:t xml:space="preserve">This Policy is governed by the laws of the United Republic of Tanzania, including the Personal Data Protection Act, 2022.</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6"/>
      </w:pBdr>
      <w:jc w:val="center"/>
    </w:pPr>
    <w:r>
      <w:rPr>
        <w:rFonts w:ascii="Calibri" w:cs="Calibri" w:eastAsia="Calibri" w:hAnsi="Calibri"/>
        <w:color w:val="475569"/>
        <w:sz w:val="16"/>
        <w:szCs w:val="16"/>
      </w:rPr>
      <w:t xml:space="preserve">WAZZAR Privacy Policy — Draft  ·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pPr>
    <w:rPr>
      <w:rFonts w:ascii="Calibri" w:cs="Calibri" w:eastAsia="Calibri" w:hAnsi="Calibri"/>
      <w:b/>
      <w:bCs/>
      <w:color w:val="0F172A"/>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WAZZAR</dc:creator>
  <cp:lastModifiedBy>Un-named</cp:lastModifiedBy>
  <cp:revision>1</cp:revision>
  <dcterms:created xsi:type="dcterms:W3CDTF">2026-08-08T05:49:56.363Z</dcterms:created>
  <dcterms:modified xsi:type="dcterms:W3CDTF">2026-08-08T05:49:56.398Z</dcterms:modified>
</cp:coreProperties>
</file>

<file path=docProps/custom.xml><?xml version="1.0" encoding="utf-8"?>
<Properties xmlns="http://schemas.openxmlformats.org/officeDocument/2006/custom-properties" xmlns:vt="http://schemas.openxmlformats.org/officeDocument/2006/docPropsVTypes"/>
</file>