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0F172A"/>
          <w:sz w:val="30"/>
          <w:szCs w:val="30"/>
        </w:rPr>
        <w:t xml:space="preserve">WAZZAR</w:t>
      </w:r>
    </w:p>
    <w:p>
      <w:pPr>
        <w:pBdr>
          <w:bottom w:val="single" w:color="B45309" w:sz="14" w:space="8"/>
        </w:pBdr>
        <w:spacing w:after="40"/>
        <w:jc w:val="left"/>
      </w:pPr>
      <w:r>
        <w:rPr>
          <w:rFonts w:ascii="Calibri" w:cs="Calibri" w:eastAsia="Calibri" w:hAnsi="Calibri"/>
          <w:b/>
          <w:bCs/>
          <w:color w:val="0F172A"/>
          <w:sz w:val="44"/>
          <w:szCs w:val="44"/>
        </w:rPr>
        <w:t xml:space="preserve">Rider Partner Agreement</w:t>
      </w:r>
    </w:p>
    <w:p>
      <w:pPr>
        <w:spacing w:after="40" w:before="160"/>
      </w:pPr>
      <w:r>
        <w:rPr>
          <w:rFonts w:ascii="Calibri" w:cs="Calibri" w:eastAsia="Calibri" w:hAnsi="Calibri"/>
          <w:i/>
          <w:iCs/>
          <w:color w:val="475569"/>
          <w:sz w:val="22"/>
          <w:szCs w:val="22"/>
        </w:rPr>
        <w:t xml:space="preserve">Independent contractor agreement between WAZZAR and delivery Riders</w:t>
      </w:r>
    </w:p>
    <w:p>
      <w:pPr>
        <w:spacing w:after="200"/>
      </w:pPr>
      <w:r>
        <w:rPr>
          <w:rFonts w:ascii="Calibri" w:cs="Calibri" w:eastAsia="Calibri" w:hAnsi="Calibri"/>
          <w:color w:val="475569"/>
          <w:sz w:val="20"/>
          <w:szCs w:val="20"/>
        </w:rPr>
        <w:t xml:space="preserve">Effective date: [INSERT DATE]   ·   Version: Draft 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tcBorders>
              <w:top w:val="single" w:color="D97706" w:sz="12"/>
              <w:left w:val="single" w:color="D97706" w:sz="12"/>
              <w:bottom w:val="single" w:color="D97706" w:sz="12"/>
              <w:right w:val="single" w:color="D97706" w:sz="12"/>
            </w:tcBorders>
            <w:shd w:fill="FEF3C7" w:color="auto" w:val="clear"/>
            <w:tcMar>
              <w:top w:type="dxa" w:w="160"/>
              <w:left w:type="dxa" w:w="200"/>
              <w:bottom w:type="dxa" w:w="160"/>
              <w:right w:type="dxa" w:w="200"/>
            </w:tcMar>
          </w:tcPr>
          <w:p>
            <w:pPr>
              <w:spacing w:after="80"/>
            </w:pPr>
            <w:r>
              <w:rPr>
                <w:rFonts w:ascii="Calibri" w:cs="Calibri" w:eastAsia="Calibri" w:hAnsi="Calibri"/>
                <w:b/>
                <w:bCs/>
                <w:color w:val="92400E"/>
                <w:sz w:val="21"/>
                <w:szCs w:val="21"/>
              </w:rPr>
              <w:t xml:space="preserve">IMPORTANT — READ BEFORE USE</w:t>
            </w:r>
          </w:p>
          <w:p>
            <w:pPr>
              <w:spacing w:after="0" w:line="264"/>
            </w:pPr>
            <w:r>
              <w:rPr>
                <w:rFonts w:ascii="Calibri" w:cs="Calibri" w:eastAsia="Calibri" w:hAnsi="Calibri"/>
                <w:color w:val="78350F"/>
                <w:sz w:val="20"/>
                <w:szCs w:val="20"/>
              </w:rPr>
              <w:t xml:space="preserve">This document is an AI-generated starting draft, not legal advice. Independent-contractor classification carries real legal and regulatory risk — misclassification exposure exists in many markets and Tanzanian employment law should be reviewed specifically on this point before use (Section 1 and Section 6 are the clauses that carry the most weight here). Vehicle, licensing, insurance, and helmet requirements referenced below reflect general Tanzanian motorcycle-transport practice at the time of drafting and should be re-verified with current TCRA/traffic-police and local government requirements, since motorcycle-taxi regulation is an active and evolving area. Bracketed placeholders must be completed before use.</w:t>
            </w:r>
          </w:p>
        </w:tc>
      </w:tr>
    </w:tbl>
    <w:p>
      <w:pPr>
        <w:pStyle w:val="Heading1"/>
        <w:spacing w:after="140" w:before="360"/>
      </w:pPr>
      <w:r>
        <w:rPr>
          <w:rFonts w:ascii="Calibri" w:cs="Calibri" w:eastAsia="Calibri" w:hAnsi="Calibri"/>
          <w:b/>
          <w:bCs/>
          <w:color w:val="0F172A"/>
          <w:sz w:val="27"/>
          <w:szCs w:val="27"/>
        </w:rPr>
        <w:t xml:space="preserve">1. Parties and Nature of the Relationship</w:t>
      </w:r>
    </w:p>
    <w:p>
      <w:pPr>
        <w:spacing w:after="140" w:line="276"/>
      </w:pPr>
      <w:r>
        <w:rPr>
          <w:rFonts w:ascii="Calibri" w:cs="Calibri" w:eastAsia="Calibri" w:hAnsi="Calibri"/>
          <w:color w:val="1E293B"/>
          <w:sz w:val="21"/>
          <w:szCs w:val="21"/>
        </w:rPr>
        <w:t xml:space="preserve">This Rider Partner Agreement (“Agreement”) is between [Company Legal Name] (“WAZZAR”) and the individual completing Rider registration on the WAZZAR Platform (“Rider,” “you”).</w:t>
      </w:r>
    </w:p>
    <w:p>
      <w:pPr>
        <w:spacing w:after="140" w:line="276"/>
      </w:pPr>
      <w:r>
        <w:rPr>
          <w:rFonts w:ascii="Calibri" w:cs="Calibri" w:eastAsia="Calibri" w:hAnsi="Calibri"/>
          <w:b/>
          <w:bCs/>
          <w:color w:val="0F172A"/>
          <w:sz w:val="21"/>
          <w:szCs w:val="21"/>
        </w:rPr>
        <w:t xml:space="preserve">1.1 Independent contractor.  </w:t>
      </w:r>
      <w:r>
        <w:rPr>
          <w:rFonts w:ascii="Calibri" w:cs="Calibri" w:eastAsia="Calibri" w:hAnsi="Calibri"/>
          <w:color w:val="1E293B"/>
          <w:sz w:val="21"/>
          <w:szCs w:val="21"/>
        </w:rPr>
        <w:t xml:space="preserve">You are an independent contractor and are not an employee, worker, partner, or agent of WAZZAR. Nothing in this Agreement creates an employment relationship. You are free to provide delivery or transport services to other platforms or customers, and WAZZAR does not set fixed working hours, does not require exclusivity, and does not direct the manner in which you operate your vehicle beyond compliance with law and the safety terms of this Agreement.</w:t>
      </w:r>
    </w:p>
    <w:p>
      <w:pPr>
        <w:spacing w:after="140" w:line="276"/>
      </w:pPr>
      <w:r>
        <w:rPr>
          <w:rFonts w:ascii="Calibri" w:cs="Calibri" w:eastAsia="Calibri" w:hAnsi="Calibri"/>
          <w:b/>
          <w:bCs/>
          <w:color w:val="0F172A"/>
          <w:sz w:val="21"/>
          <w:szCs w:val="21"/>
        </w:rPr>
        <w:t xml:space="preserve">1.2 Control retained by Rider.  </w:t>
      </w:r>
      <w:r>
        <w:rPr>
          <w:rFonts w:ascii="Calibri" w:cs="Calibri" w:eastAsia="Calibri" w:hAnsi="Calibri"/>
          <w:color w:val="1E293B"/>
          <w:sz w:val="21"/>
          <w:szCs w:val="21"/>
        </w:rPr>
        <w:t xml:space="preserve">You decide when to go online, which delivery requests to accept or decline, and when to stop working. WAZZAR does not guarantee any minimum volume of delivery requests.</w:t>
      </w:r>
    </w:p>
    <w:p>
      <w:pPr>
        <w:pStyle w:val="Heading1"/>
        <w:spacing w:after="140" w:before="360"/>
      </w:pPr>
      <w:r>
        <w:rPr>
          <w:rFonts w:ascii="Calibri" w:cs="Calibri" w:eastAsia="Calibri" w:hAnsi="Calibri"/>
          <w:b/>
          <w:bCs/>
          <w:color w:val="0F172A"/>
          <w:sz w:val="27"/>
          <w:szCs w:val="27"/>
        </w:rPr>
        <w:t xml:space="preserve">2. Eligibility and Onboarding</w:t>
      </w:r>
    </w:p>
    <w:p>
      <w:pPr>
        <w:spacing w:after="140" w:line="276"/>
      </w:pPr>
      <w:r>
        <w:rPr>
          <w:rFonts w:ascii="Calibri" w:cs="Calibri" w:eastAsia="Calibri" w:hAnsi="Calibri"/>
          <w:color w:val="1E293B"/>
          <w:sz w:val="21"/>
          <w:szCs w:val="21"/>
        </w:rPr>
        <w:t xml:space="preserve">To register as a Rider, you must provide and keep current:</w:t>
      </w:r>
    </w:p>
    <w:p>
      <w:pPr>
        <w:pStyle w:val="ListParagraph"/>
        <w:numPr>
          <w:ilvl w:val="0"/>
          <w:numId w:val="2"/>
        </w:numPr>
        <w:spacing w:after="80" w:line="264"/>
      </w:pPr>
      <w:r>
        <w:rPr>
          <w:rFonts w:ascii="Calibri" w:cs="Calibri" w:eastAsia="Calibri" w:hAnsi="Calibri"/>
          <w:color w:val="1E293B"/>
          <w:sz w:val="21"/>
          <w:szCs w:val="21"/>
        </w:rPr>
        <w:t xml:space="preserve">A valid national identity document.</w:t>
      </w:r>
    </w:p>
    <w:p>
      <w:pPr>
        <w:pStyle w:val="ListParagraph"/>
        <w:numPr>
          <w:ilvl w:val="0"/>
          <w:numId w:val="2"/>
        </w:numPr>
        <w:spacing w:after="80" w:line="264"/>
      </w:pPr>
      <w:r>
        <w:rPr>
          <w:rFonts w:ascii="Calibri" w:cs="Calibri" w:eastAsia="Calibri" w:hAnsi="Calibri"/>
          <w:color w:val="1E293B"/>
          <w:sz w:val="21"/>
          <w:szCs w:val="21"/>
        </w:rPr>
        <w:t xml:space="preserve">A valid motorcycle riding licence for the applicable vehicle class.</w:t>
      </w:r>
    </w:p>
    <w:p>
      <w:pPr>
        <w:pStyle w:val="ListParagraph"/>
        <w:numPr>
          <w:ilvl w:val="0"/>
          <w:numId w:val="2"/>
        </w:numPr>
        <w:spacing w:after="80" w:line="264"/>
      </w:pPr>
      <w:r>
        <w:rPr>
          <w:rFonts w:ascii="Calibri" w:cs="Calibri" w:eastAsia="Calibri" w:hAnsi="Calibri"/>
          <w:color w:val="1E293B"/>
          <w:sz w:val="21"/>
          <w:szCs w:val="21"/>
        </w:rPr>
        <w:t xml:space="preserve">Proof of ownership or authorised use of a roadworthy motorcycle, including valid registration.</w:t>
      </w:r>
    </w:p>
    <w:p>
      <w:pPr>
        <w:pStyle w:val="ListParagraph"/>
        <w:numPr>
          <w:ilvl w:val="0"/>
          <w:numId w:val="2"/>
        </w:numPr>
        <w:spacing w:after="80" w:line="264"/>
      </w:pPr>
      <w:r>
        <w:rPr>
          <w:rFonts w:ascii="Calibri" w:cs="Calibri" w:eastAsia="Calibri" w:hAnsi="Calibri"/>
          <w:color w:val="1E293B"/>
          <w:sz w:val="21"/>
          <w:szCs w:val="21"/>
        </w:rPr>
        <w:t xml:space="preserve">Valid motor vehicle insurance covering your commercial use of the motorcycle.</w:t>
      </w:r>
    </w:p>
    <w:p>
      <w:pPr>
        <w:pStyle w:val="ListParagraph"/>
        <w:numPr>
          <w:ilvl w:val="0"/>
          <w:numId w:val="2"/>
        </w:numPr>
        <w:spacing w:after="80" w:line="264"/>
      </w:pPr>
      <w:r>
        <w:rPr>
          <w:rFonts w:ascii="Calibri" w:cs="Calibri" w:eastAsia="Calibri" w:hAnsi="Calibri"/>
          <w:color w:val="1E293B"/>
          <w:sz w:val="21"/>
          <w:szCs w:val="21"/>
        </w:rPr>
        <w:t xml:space="preserve">A functioning smartphone capable of running the WAZZAR Rider app.</w:t>
      </w:r>
    </w:p>
    <w:p>
      <w:pPr>
        <w:spacing w:after="140" w:line="276"/>
      </w:pPr>
      <w:r>
        <w:rPr>
          <w:rFonts w:ascii="Calibri" w:cs="Calibri" w:eastAsia="Calibri" w:hAnsi="Calibri"/>
          <w:color w:val="1E293B"/>
          <w:sz w:val="21"/>
          <w:szCs w:val="21"/>
        </w:rPr>
        <w:t xml:space="preserve">WAZZAR will review submitted documents and may approve, reject, or request further verification before activating your account. WAZZAR may periodically re-verify documents and may deactivate an account where a required document has lapsed.</w:t>
      </w:r>
    </w:p>
    <w:p>
      <w:pPr>
        <w:pStyle w:val="Heading1"/>
        <w:spacing w:after="140" w:before="360"/>
      </w:pPr>
      <w:r>
        <w:rPr>
          <w:rFonts w:ascii="Calibri" w:cs="Calibri" w:eastAsia="Calibri" w:hAnsi="Calibri"/>
          <w:b/>
          <w:bCs/>
          <w:color w:val="0F172A"/>
          <w:sz w:val="27"/>
          <w:szCs w:val="27"/>
        </w:rPr>
        <w:t xml:space="preserve">3. Term and Termination</w:t>
      </w:r>
    </w:p>
    <w:p>
      <w:pPr>
        <w:spacing w:after="140" w:line="276"/>
      </w:pPr>
      <w:r>
        <w:rPr>
          <w:rFonts w:ascii="Calibri" w:cs="Calibri" w:eastAsia="Calibri" w:hAnsi="Calibri"/>
          <w:color w:val="1E293B"/>
          <w:sz w:val="21"/>
          <w:szCs w:val="21"/>
        </w:rPr>
        <w:t xml:space="preserve">This Agreement takes effect when you accept it during registration and continues until terminated. Either party may terminate at any time for any reason on [7] days’ notice, or immediately for a material breach, safety violation, or fraudulent activity.</w:t>
      </w:r>
    </w:p>
    <w:p>
      <w:pPr>
        <w:pStyle w:val="Heading1"/>
        <w:spacing w:after="140" w:before="360"/>
      </w:pPr>
      <w:r>
        <w:rPr>
          <w:rFonts w:ascii="Calibri" w:cs="Calibri" w:eastAsia="Calibri" w:hAnsi="Calibri"/>
          <w:b/>
          <w:bCs/>
          <w:color w:val="0F172A"/>
          <w:sz w:val="27"/>
          <w:szCs w:val="27"/>
        </w:rPr>
        <w:t xml:space="preserve">4. Rider Obligations</w:t>
      </w:r>
    </w:p>
    <w:p>
      <w:pPr>
        <w:pStyle w:val="ListParagraph"/>
        <w:numPr>
          <w:ilvl w:val="0"/>
          <w:numId w:val="2"/>
        </w:numPr>
        <w:spacing w:after="80" w:line="264"/>
      </w:pPr>
      <w:r>
        <w:rPr>
          <w:rFonts w:ascii="Calibri" w:cs="Calibri" w:eastAsia="Calibri" w:hAnsi="Calibri"/>
          <w:color w:val="1E293B"/>
          <w:sz w:val="21"/>
          <w:szCs w:val="21"/>
        </w:rPr>
        <w:t xml:space="preserve">Comply with all applicable traffic laws, including holding a valid licence, wearing a certified helmet, and keeping your motorcycle in roadworthy condition.</w:t>
      </w:r>
    </w:p>
    <w:p>
      <w:pPr>
        <w:pStyle w:val="ListParagraph"/>
        <w:numPr>
          <w:ilvl w:val="0"/>
          <w:numId w:val="2"/>
        </w:numPr>
        <w:spacing w:after="80" w:line="264"/>
      </w:pPr>
      <w:r>
        <w:rPr>
          <w:rFonts w:ascii="Calibri" w:cs="Calibri" w:eastAsia="Calibri" w:hAnsi="Calibri"/>
          <w:color w:val="1E293B"/>
          <w:sz w:val="21"/>
          <w:szCs w:val="21"/>
        </w:rPr>
        <w:t xml:space="preserve">Handle packages with reasonable care and complete pickup and drop-off verification (photo and/or written notes, as required by the Platform) — the Platform does not currently use OTP codes for this verification.</w:t>
      </w:r>
    </w:p>
    <w:p>
      <w:pPr>
        <w:pStyle w:val="ListParagraph"/>
        <w:numPr>
          <w:ilvl w:val="0"/>
          <w:numId w:val="2"/>
        </w:numPr>
        <w:spacing w:after="80" w:line="264"/>
      </w:pPr>
      <w:r>
        <w:rPr>
          <w:rFonts w:ascii="Calibri" w:cs="Calibri" w:eastAsia="Calibri" w:hAnsi="Calibri"/>
          <w:color w:val="1E293B"/>
          <w:sz w:val="21"/>
          <w:szCs w:val="21"/>
        </w:rPr>
        <w:t xml:space="preserve">Treat Customers, recipients, and other road users courteously and safely.</w:t>
      </w:r>
    </w:p>
    <w:p>
      <w:pPr>
        <w:pStyle w:val="ListParagraph"/>
        <w:numPr>
          <w:ilvl w:val="0"/>
          <w:numId w:val="2"/>
        </w:numPr>
        <w:spacing w:after="80" w:line="264"/>
      </w:pPr>
      <w:r>
        <w:rPr>
          <w:rFonts w:ascii="Calibri" w:cs="Calibri" w:eastAsia="Calibri" w:hAnsi="Calibri"/>
          <w:color w:val="1E293B"/>
          <w:sz w:val="21"/>
          <w:szCs w:val="21"/>
        </w:rPr>
        <w:t xml:space="preserve">Not open, inspect, or misappropriate the contents of any package, except where reasonably necessary to verify a prohibited item.</w:t>
      </w:r>
    </w:p>
    <w:p>
      <w:pPr>
        <w:pStyle w:val="ListParagraph"/>
        <w:numPr>
          <w:ilvl w:val="0"/>
          <w:numId w:val="2"/>
        </w:numPr>
        <w:spacing w:after="80" w:line="264"/>
      </w:pPr>
      <w:r>
        <w:rPr>
          <w:rFonts w:ascii="Calibri" w:cs="Calibri" w:eastAsia="Calibri" w:hAnsi="Calibri"/>
          <w:color w:val="1E293B"/>
          <w:sz w:val="21"/>
          <w:szCs w:val="21"/>
        </w:rPr>
        <w:t xml:space="preserve">Promptly report accidents, lost packages, or safety incidents through the app.</w:t>
      </w:r>
    </w:p>
    <w:p>
      <w:pPr>
        <w:pStyle w:val="Heading1"/>
        <w:spacing w:after="140" w:before="360"/>
      </w:pPr>
      <w:r>
        <w:rPr>
          <w:rFonts w:ascii="Calibri" w:cs="Calibri" w:eastAsia="Calibri" w:hAnsi="Calibri"/>
          <w:b/>
          <w:bCs/>
          <w:color w:val="0F172A"/>
          <w:sz w:val="27"/>
          <w:szCs w:val="27"/>
        </w:rPr>
        <w:t xml:space="preserve">5. Delivery Acceptance and Performance</w:t>
      </w:r>
    </w:p>
    <w:p>
      <w:pPr>
        <w:spacing w:after="140" w:line="276"/>
      </w:pPr>
      <w:r>
        <w:rPr>
          <w:rFonts w:ascii="Calibri" w:cs="Calibri" w:eastAsia="Calibri" w:hAnsi="Calibri"/>
          <w:color w:val="1E293B"/>
          <w:sz w:val="21"/>
          <w:szCs w:val="21"/>
        </w:rPr>
        <w:t xml:space="preserve">You are free to accept or decline any delivery request shown to you. Once accepted, you agree to complete the delivery in accordance with the Platform’s workflow (navigate to pickup, confirm pickup, navigate to drop-off, complete proof of delivery) or to cancel promptly through the app if you are unable to continue, so the delivery can be reassigned.</w:t>
      </w:r>
    </w:p>
    <w:p>
      <w:pPr>
        <w:pStyle w:val="Heading1"/>
        <w:spacing w:after="140" w:before="360"/>
      </w:pPr>
      <w:r>
        <w:rPr>
          <w:rFonts w:ascii="Calibri" w:cs="Calibri" w:eastAsia="Calibri" w:hAnsi="Calibri"/>
          <w:b/>
          <w:bCs/>
          <w:color w:val="0F172A"/>
          <w:sz w:val="27"/>
          <w:szCs w:val="27"/>
        </w:rPr>
        <w:t xml:space="preserve">6. Equipment, Expenses, and Method of Work</w:t>
      </w:r>
    </w:p>
    <w:p>
      <w:pPr>
        <w:spacing w:after="140" w:line="276"/>
      </w:pPr>
      <w:r>
        <w:rPr>
          <w:rFonts w:ascii="Calibri" w:cs="Calibri" w:eastAsia="Calibri" w:hAnsi="Calibri"/>
          <w:color w:val="1E293B"/>
          <w:sz w:val="21"/>
          <w:szCs w:val="21"/>
        </w:rPr>
        <w:t xml:space="preserve">You supply and maintain your own motorcycle, fuel, mobile device, and mobile data at your own expense. WAZZAR provides only access to the software Platform that connects you with delivery requests. You determine your own route and method of travel between pickup and drop-off, subject to traffic law and the safety terms above. This division of responsibility — you bearing your own operating costs and controlling your own method of work — is a deliberate and material term of the independent-contractor relationship described in Section 1 and should not be altered without legal review.</w:t>
      </w:r>
    </w:p>
    <w:p>
      <w:pPr>
        <w:pStyle w:val="Heading1"/>
        <w:spacing w:after="140" w:before="360"/>
      </w:pPr>
      <w:r>
        <w:rPr>
          <w:rFonts w:ascii="Calibri" w:cs="Calibri" w:eastAsia="Calibri" w:hAnsi="Calibri"/>
          <w:b/>
          <w:bCs/>
          <w:color w:val="0F172A"/>
          <w:sz w:val="27"/>
          <w:szCs w:val="27"/>
        </w:rPr>
        <w:t xml:space="preserve">7. Fees, Payment, and Payout</w:t>
      </w:r>
    </w:p>
    <w:p>
      <w:pPr>
        <w:spacing w:after="140" w:line="276"/>
      </w:pPr>
      <w:r>
        <w:rPr>
          <w:rFonts w:ascii="Calibri" w:cs="Calibri" w:eastAsia="Calibri" w:hAnsi="Calibri"/>
          <w:color w:val="1E293B"/>
          <w:sz w:val="21"/>
          <w:szCs w:val="21"/>
        </w:rPr>
        <w:t xml:space="preserve">For each completed delivery, WAZZAR retains a commission from the delivery fare as disclosed in the Rider app, and credits the remainder to your in-app wallet. You may withdraw your wallet balance to your registered mobile money account or bank account, subject to any minimum withdrawal threshold and processing time disclosed in the app. Fee and commission rates may be updated by WAZZAR from time to time with reasonable notice.</w:t>
      </w:r>
    </w:p>
    <w:p>
      <w:pPr>
        <w:pStyle w:val="Heading1"/>
        <w:spacing w:after="140" w:before="360"/>
      </w:pPr>
      <w:r>
        <w:rPr>
          <w:rFonts w:ascii="Calibri" w:cs="Calibri" w:eastAsia="Calibri" w:hAnsi="Calibri"/>
          <w:b/>
          <w:bCs/>
          <w:color w:val="0F172A"/>
          <w:sz w:val="27"/>
          <w:szCs w:val="27"/>
        </w:rPr>
        <w:t xml:space="preserve">8. Insurance and Liability</w:t>
      </w:r>
    </w:p>
    <w:p>
      <w:pPr>
        <w:spacing w:after="140" w:line="276"/>
      </w:pPr>
      <w:r>
        <w:rPr>
          <w:rFonts w:ascii="Calibri" w:cs="Calibri" w:eastAsia="Calibri" w:hAnsi="Calibri"/>
          <w:color w:val="1E293B"/>
          <w:sz w:val="21"/>
          <w:szCs w:val="21"/>
        </w:rPr>
        <w:t xml:space="preserve">You are responsible for maintaining valid insurance covering your commercial motorcycle use, and for any liability arising from your operation of your vehicle. Any optional delivery insurance offered by WAZZAR to Customers covers the item being delivered and does not substitute for your own vehicle and personal insurance obligations.</w:t>
      </w:r>
    </w:p>
    <w:p>
      <w:pPr>
        <w:pStyle w:val="Heading1"/>
        <w:spacing w:after="140" w:before="360"/>
      </w:pPr>
      <w:r>
        <w:rPr>
          <w:rFonts w:ascii="Calibri" w:cs="Calibri" w:eastAsia="Calibri" w:hAnsi="Calibri"/>
          <w:b/>
          <w:bCs/>
          <w:color w:val="0F172A"/>
          <w:sz w:val="27"/>
          <w:szCs w:val="27"/>
        </w:rPr>
        <w:t xml:space="preserve">9. Taxes</w:t>
      </w:r>
    </w:p>
    <w:p>
      <w:pPr>
        <w:spacing w:after="140" w:line="276"/>
      </w:pPr>
      <w:r>
        <w:rPr>
          <w:rFonts w:ascii="Calibri" w:cs="Calibri" w:eastAsia="Calibri" w:hAnsi="Calibri"/>
          <w:color w:val="1E293B"/>
          <w:sz w:val="21"/>
          <w:szCs w:val="21"/>
        </w:rPr>
        <w:t xml:space="preserve">You are solely responsible for determining and meeting your own tax obligations, including any applicable income tax or business registration requirements under Tanzanian law, arising from amounts you earn through the Platform. WAZZAR does not withhold income tax on your behalf and does not treat you as an employee for tax purposes.</w:t>
      </w:r>
    </w:p>
    <w:p>
      <w:pPr>
        <w:pStyle w:val="Heading1"/>
        <w:spacing w:after="140" w:before="360"/>
      </w:pPr>
      <w:r>
        <w:rPr>
          <w:rFonts w:ascii="Calibri" w:cs="Calibri" w:eastAsia="Calibri" w:hAnsi="Calibri"/>
          <w:b/>
          <w:bCs/>
          <w:color w:val="0F172A"/>
          <w:sz w:val="27"/>
          <w:szCs w:val="27"/>
        </w:rPr>
        <w:t xml:space="preserve">10. Data Protection</w:t>
      </w:r>
    </w:p>
    <w:p>
      <w:pPr>
        <w:spacing w:after="140" w:line="276"/>
      </w:pPr>
      <w:r>
        <w:rPr>
          <w:rFonts w:ascii="Calibri" w:cs="Calibri" w:eastAsia="Calibri" w:hAnsi="Calibri"/>
          <w:color w:val="1E293B"/>
          <w:sz w:val="21"/>
          <w:szCs w:val="21"/>
        </w:rPr>
        <w:t xml:space="preserve">WAZZAR processes your personal data, including identity and location data, to operate the Platform, verify your eligibility, and process payments, in accordance with the Personal Data Protection Act, 2022 and WAZZAR’s Privacy Policy. Your live location is shared with Customers only for the duration of an active delivery.</w:t>
      </w:r>
    </w:p>
    <w:p>
      <w:pPr>
        <w:pStyle w:val="Heading1"/>
        <w:spacing w:after="140" w:before="360"/>
      </w:pPr>
      <w:r>
        <w:rPr>
          <w:rFonts w:ascii="Calibri" w:cs="Calibri" w:eastAsia="Calibri" w:hAnsi="Calibri"/>
          <w:b/>
          <w:bCs/>
          <w:color w:val="0F172A"/>
          <w:sz w:val="27"/>
          <w:szCs w:val="27"/>
        </w:rPr>
        <w:t xml:space="preserve">11. Prohibited Conduct</w:t>
      </w:r>
    </w:p>
    <w:p>
      <w:pPr>
        <w:pStyle w:val="ListParagraph"/>
        <w:numPr>
          <w:ilvl w:val="0"/>
          <w:numId w:val="2"/>
        </w:numPr>
        <w:spacing w:after="80" w:line="264"/>
      </w:pPr>
      <w:r>
        <w:rPr>
          <w:rFonts w:ascii="Calibri" w:cs="Calibri" w:eastAsia="Calibri" w:hAnsi="Calibri"/>
          <w:color w:val="1E293B"/>
          <w:sz w:val="21"/>
          <w:szCs w:val="21"/>
        </w:rPr>
        <w:t xml:space="preserve">Fraudulent activity, including fake deliveries or GPS manipulation.</w:t>
      </w:r>
    </w:p>
    <w:p>
      <w:pPr>
        <w:pStyle w:val="ListParagraph"/>
        <w:numPr>
          <w:ilvl w:val="0"/>
          <w:numId w:val="2"/>
        </w:numPr>
        <w:spacing w:after="80" w:line="264"/>
      </w:pPr>
      <w:r>
        <w:rPr>
          <w:rFonts w:ascii="Calibri" w:cs="Calibri" w:eastAsia="Calibri" w:hAnsi="Calibri"/>
          <w:color w:val="1E293B"/>
          <w:sz w:val="21"/>
          <w:szCs w:val="21"/>
        </w:rPr>
        <w:t xml:space="preserve">Sharing your Rider account or allowing another person to fulfil deliveries under your account.</w:t>
      </w:r>
    </w:p>
    <w:p>
      <w:pPr>
        <w:pStyle w:val="ListParagraph"/>
        <w:numPr>
          <w:ilvl w:val="0"/>
          <w:numId w:val="2"/>
        </w:numPr>
        <w:spacing w:after="80" w:line="264"/>
      </w:pPr>
      <w:r>
        <w:rPr>
          <w:rFonts w:ascii="Calibri" w:cs="Calibri" w:eastAsia="Calibri" w:hAnsi="Calibri"/>
          <w:color w:val="1E293B"/>
          <w:sz w:val="21"/>
          <w:szCs w:val="21"/>
        </w:rPr>
        <w:t xml:space="preserve">Soliciting Customers to transact outside the Platform for deliveries initiated on it.</w:t>
      </w:r>
    </w:p>
    <w:p>
      <w:pPr>
        <w:pStyle w:val="ListParagraph"/>
        <w:numPr>
          <w:ilvl w:val="0"/>
          <w:numId w:val="2"/>
        </w:numPr>
        <w:spacing w:after="80" w:line="264"/>
      </w:pPr>
      <w:r>
        <w:rPr>
          <w:rFonts w:ascii="Calibri" w:cs="Calibri" w:eastAsia="Calibri" w:hAnsi="Calibri"/>
          <w:color w:val="1E293B"/>
          <w:sz w:val="21"/>
          <w:szCs w:val="21"/>
        </w:rPr>
        <w:t xml:space="preserve">Operating under the influence of alcohol or drugs, or in an unsafe condition.</w:t>
      </w:r>
    </w:p>
    <w:p>
      <w:pPr>
        <w:pStyle w:val="Heading1"/>
        <w:spacing w:after="140" w:before="360"/>
      </w:pPr>
      <w:r>
        <w:rPr>
          <w:rFonts w:ascii="Calibri" w:cs="Calibri" w:eastAsia="Calibri" w:hAnsi="Calibri"/>
          <w:b/>
          <w:bCs/>
          <w:color w:val="0F172A"/>
          <w:sz w:val="27"/>
          <w:szCs w:val="27"/>
        </w:rPr>
        <w:t xml:space="preserve">12. Performance Standards and Deactivation</w:t>
      </w:r>
    </w:p>
    <w:p>
      <w:pPr>
        <w:spacing w:after="140" w:line="276"/>
      </w:pPr>
      <w:r>
        <w:rPr>
          <w:rFonts w:ascii="Calibri" w:cs="Calibri" w:eastAsia="Calibri" w:hAnsi="Calibri"/>
          <w:color w:val="1E293B"/>
          <w:sz w:val="21"/>
          <w:szCs w:val="21"/>
        </w:rPr>
        <w:t xml:space="preserve">WAZZAR may deactivate or suspend your account for safety violations, sustained poor performance (such as a persistently low completion or rating score after a documented improvement process), fraud, or breach of this Agreement. Deactivation decisions may be appealed through WAZZAR Support.</w:t>
      </w:r>
    </w:p>
    <w:p>
      <w:pPr>
        <w:pStyle w:val="Heading1"/>
        <w:spacing w:after="140" w:before="360"/>
      </w:pPr>
      <w:r>
        <w:rPr>
          <w:rFonts w:ascii="Calibri" w:cs="Calibri" w:eastAsia="Calibri" w:hAnsi="Calibri"/>
          <w:b/>
          <w:bCs/>
          <w:color w:val="0F172A"/>
          <w:sz w:val="27"/>
          <w:szCs w:val="27"/>
        </w:rPr>
        <w:t xml:space="preserve">13. Confidentiality</w:t>
      </w:r>
    </w:p>
    <w:p>
      <w:pPr>
        <w:spacing w:after="140" w:line="276"/>
      </w:pPr>
      <w:r>
        <w:rPr>
          <w:rFonts w:ascii="Calibri" w:cs="Calibri" w:eastAsia="Calibri" w:hAnsi="Calibri"/>
          <w:color w:val="1E293B"/>
          <w:sz w:val="21"/>
          <w:szCs w:val="21"/>
        </w:rPr>
        <w:t xml:space="preserve">You agree to keep confidential any non-public information about WAZZAR’s pricing, matching logic, or business operations that you become aware of through use of the Platform.</w:t>
      </w:r>
    </w:p>
    <w:p>
      <w:pPr>
        <w:pStyle w:val="Heading1"/>
        <w:spacing w:after="140" w:before="360"/>
      </w:pPr>
      <w:r>
        <w:rPr>
          <w:rFonts w:ascii="Calibri" w:cs="Calibri" w:eastAsia="Calibri" w:hAnsi="Calibri"/>
          <w:b/>
          <w:bCs/>
          <w:color w:val="0F172A"/>
          <w:sz w:val="27"/>
          <w:szCs w:val="27"/>
        </w:rPr>
        <w:t xml:space="preserve">14. Indemnification</w:t>
      </w:r>
    </w:p>
    <w:p>
      <w:pPr>
        <w:spacing w:after="140" w:line="276"/>
      </w:pPr>
      <w:r>
        <w:rPr>
          <w:rFonts w:ascii="Calibri" w:cs="Calibri" w:eastAsia="Calibri" w:hAnsi="Calibri"/>
          <w:color w:val="1E293B"/>
          <w:sz w:val="21"/>
          <w:szCs w:val="21"/>
        </w:rPr>
        <w:t xml:space="preserve">You agree to indemnify WAZZAR against claims or losses arising from your negligent or unlawful conduct, breach of this Agreement, or violation of applicable traffic or transport law.</w:t>
      </w:r>
    </w:p>
    <w:p>
      <w:pPr>
        <w:pStyle w:val="Heading1"/>
        <w:spacing w:after="140" w:before="360"/>
      </w:pPr>
      <w:r>
        <w:rPr>
          <w:rFonts w:ascii="Calibri" w:cs="Calibri" w:eastAsia="Calibri" w:hAnsi="Calibri"/>
          <w:b/>
          <w:bCs/>
          <w:color w:val="0F172A"/>
          <w:sz w:val="27"/>
          <w:szCs w:val="27"/>
        </w:rPr>
        <w:t xml:space="preserve">15. Dispute Resolution</w:t>
      </w:r>
    </w:p>
    <w:p>
      <w:pPr>
        <w:spacing w:after="140" w:line="276"/>
      </w:pPr>
      <w:r>
        <w:rPr>
          <w:rFonts w:ascii="Calibri" w:cs="Calibri" w:eastAsia="Calibri" w:hAnsi="Calibri"/>
          <w:color w:val="1E293B"/>
          <w:sz w:val="21"/>
          <w:szCs w:val="21"/>
        </w:rPr>
        <w:t xml:space="preserve">[Insert the dispute resolution mechanism your lawyer recommends — for example, good-faith negotiation followed by mediation or arbitration seated in Tanzania — before litigation.]</w:t>
      </w:r>
    </w:p>
    <w:p>
      <w:pPr>
        <w:pStyle w:val="Heading1"/>
        <w:spacing w:after="140" w:before="360"/>
      </w:pPr>
      <w:r>
        <w:rPr>
          <w:rFonts w:ascii="Calibri" w:cs="Calibri" w:eastAsia="Calibri" w:hAnsi="Calibri"/>
          <w:b/>
          <w:bCs/>
          <w:color w:val="0F172A"/>
          <w:sz w:val="27"/>
          <w:szCs w:val="27"/>
        </w:rPr>
        <w:t xml:space="preserve">16. Governing Law</w:t>
      </w:r>
    </w:p>
    <w:p>
      <w:pPr>
        <w:spacing w:after="140" w:line="276"/>
      </w:pPr>
      <w:r>
        <w:rPr>
          <w:rFonts w:ascii="Calibri" w:cs="Calibri" w:eastAsia="Calibri" w:hAnsi="Calibri"/>
          <w:color w:val="1E293B"/>
          <w:sz w:val="21"/>
          <w:szCs w:val="21"/>
        </w:rPr>
        <w:t xml:space="preserve">This Agreement is governed by the laws of the United Republic of Tanzania.</w:t>
      </w:r>
    </w:p>
    <w:p>
      <w:pPr>
        <w:pStyle w:val="Heading1"/>
        <w:spacing w:after="140" w:before="360"/>
      </w:pPr>
      <w:r>
        <w:rPr>
          <w:rFonts w:ascii="Calibri" w:cs="Calibri" w:eastAsia="Calibri" w:hAnsi="Calibri"/>
          <w:b/>
          <w:bCs/>
          <w:color w:val="0F172A"/>
          <w:sz w:val="27"/>
          <w:szCs w:val="27"/>
        </w:rPr>
        <w:t xml:space="preserve">17. Entire Agreement</w:t>
      </w:r>
    </w:p>
    <w:p>
      <w:pPr>
        <w:spacing w:after="140" w:line="276"/>
      </w:pPr>
      <w:r>
        <w:rPr>
          <w:rFonts w:ascii="Calibri" w:cs="Calibri" w:eastAsia="Calibri" w:hAnsi="Calibri"/>
          <w:color w:val="1E293B"/>
          <w:sz w:val="21"/>
          <w:szCs w:val="21"/>
        </w:rPr>
        <w:t xml:space="preserve">This Agreement, together with the Rider-facing terms shown in the app and any policies referenced in it, constitutes the entire agreement between you and WAZZAR regarding your participation as a Rider, and supersedes any prior understanding on the subject.</w:t>
      </w:r>
    </w:p>
    <w:p>
      <w:pPr>
        <w:spacing w:after="160" w:before="300"/>
      </w:pPr>
      <w:r>
        <w:rPr>
          <w:rFonts w:ascii="Calibri" w:cs="Calibri" w:eastAsia="Calibri" w:hAnsi="Calibri"/>
          <w:b/>
          <w:bCs/>
          <w:color w:val="0F172A"/>
          <w:sz w:val="21"/>
          <w:szCs w:val="21"/>
        </w:rPr>
        <w:t xml:space="preserve">Acknowledged and agreed: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Rider signature: _______________________</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For WAZZAR: _______________________</w:t>
            </w:r>
          </w:p>
        </w:tc>
      </w:tr>
      <w:tr>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Name: _______________________</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Name: _______________________</w:t>
            </w:r>
          </w:p>
        </w:tc>
      </w:tr>
      <w:tr>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Date: _______________________</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Date: _______________________</w:t>
            </w:r>
          </w:p>
        </w:tc>
      </w:tr>
    </w:tbl>
    <w:p/>
    <w:p>
      <w:r>
        <w:t>APPENDIX: Future Phases (Phase 2+)</w:t>
      </w:r>
    </w:p>
    <w:p>
      <w:r>
        <w:t>This Agreement describes a single Rider providing motorcycle delivery in a single city. WAZZAR is designed to expand to intercity/trunk-leg delivery via bus-partner Carriers in Phase 2 and beyond. At that time, additional legal framework covering Dispatcher roles, Carrier partnerships, and multi-leg liability will be required. These do not currently exist in this document.</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jc w:val="center"/>
    </w:pPr>
    <w:r>
      <w:rPr>
        <w:rFonts w:ascii="Calibri" w:cs="Calibri" w:eastAsia="Calibri" w:hAnsi="Calibri"/>
        <w:color w:val="475569"/>
        <w:sz w:val="16"/>
        <w:szCs w:val="16"/>
      </w:rPr>
      <w:t xml:space="preserve">WAZZAR Rider Partner Agreement — Draft  ·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pPr>
    <w:rPr>
      <w:rFonts w:ascii="Calibri" w:cs="Calibri" w:eastAsia="Calibri" w:hAnsi="Calibri"/>
      <w:b/>
      <w:bCs/>
      <w:color w:val="0F172A"/>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WAZZAR</dc:creator>
  <cp:lastModifiedBy>Un-named</cp:lastModifiedBy>
  <cp:revision>1</cp:revision>
  <dcterms:created xsi:type="dcterms:W3CDTF">2026-08-06T20:44:13.351Z</dcterms:created>
  <dcterms:modified xsi:type="dcterms:W3CDTF">2026-08-06T20:44:13.351Z</dcterms:modified>
</cp:coreProperties>
</file>

<file path=docProps/custom.xml><?xml version="1.0" encoding="utf-8"?>
<Properties xmlns="http://schemas.openxmlformats.org/officeDocument/2006/custom-properties" xmlns:vt="http://schemas.openxmlformats.org/officeDocument/2006/docPropsVTypes"/>
</file>