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172A"/>
          <w:sz w:val="30"/>
          <w:szCs w:val="30"/>
        </w:rPr>
        <w:t xml:space="preserve">WAZZAR</w:t>
      </w:r>
    </w:p>
    <w:p>
      <w:pPr>
        <w:pBdr>
          <w:bottom w:val="single" w:color="EA580C" w:sz="14" w:space="8"/>
        </w:pBdr>
        <w:spacing w:after="40"/>
      </w:pPr>
      <w:r>
        <w:rPr>
          <w:rFonts w:ascii="Calibri" w:cs="Calibri" w:eastAsia="Calibri" w:hAnsi="Calibri"/>
          <w:b/>
          <w:bCs/>
          <w:color w:val="0F172A"/>
          <w:sz w:val="38"/>
          <w:szCs w:val="38"/>
        </w:rPr>
        <w:t xml:space="preserve">Rider Recruitment &amp; Operations Playbook</w:t>
      </w:r>
    </w:p>
    <w:p>
      <w:pPr>
        <w:spacing w:after="40" w:before="160"/>
      </w:pPr>
      <w:r>
        <w:rPr>
          <w:rFonts w:ascii="Calibri" w:cs="Calibri" w:eastAsia="Calibri" w:hAnsi="Calibri"/>
          <w:i/>
          <w:iCs/>
          <w:color w:val="475569"/>
          <w:sz w:val="22"/>
          <w:szCs w:val="22"/>
        </w:rPr>
        <w:t xml:space="preserve">Building and running the supply side of the marketplace — launch city: Dar es Salaam</w:t>
      </w:r>
    </w:p>
    <w:p>
      <w:pPr>
        <w:spacing w:after="260"/>
      </w:pPr>
      <w:r>
        <w:rPr>
          <w:rFonts w:ascii="Calibri" w:cs="Calibri" w:eastAsia="Calibri" w:hAnsi="Calibri"/>
          <w:color w:val="475569"/>
          <w:sz w:val="20"/>
          <w:szCs w:val="20"/>
        </w:rPr>
        <w:t xml:space="preserve">Field Operations · Draft 1.0</w:t>
      </w:r>
    </w:p>
    <w:p>
      <w:pPr>
        <w:pStyle w:val="Heading1"/>
        <w:pBdr>
          <w:bottom w:val="single" w:color="EA580C" w:sz="12" w:space="6"/>
        </w:pBdr>
        <w:spacing w:after="180" w:before="420"/>
      </w:pPr>
      <w:r>
        <w:t xml:space="preserve">1. Purpose &amp; How to Use This Playbook</w:t>
      </w:r>
    </w:p>
    <w:p>
      <w:pPr>
        <w:spacing w:after="150" w:line="276"/>
      </w:pPr>
      <w:r>
        <w:rPr>
          <w:rFonts w:ascii="Calibri" w:cs="Calibri" w:eastAsia="Calibri" w:hAnsi="Calibri"/>
          <w:i w:val="false"/>
          <w:iCs w:val="false"/>
          <w:color w:val="1E293B"/>
          <w:sz w:val="22"/>
          <w:szCs w:val="22"/>
        </w:rPr>
        <w:t xml:space="preserve">The Master Blueprint defines the product. This playbook defines the ground-level work of building the rider supply that makes the product real: where to find riders, how to verify and train them, how to keep them active, and how to run the field operations team responsible for all of it. It is written for the City Operations Manager and field recruiting team running WAZZAR’s Dar es Salaam launch, and should be treated as a living document — update it as Phase 1 data reveals what actually works.</w:t>
      </w:r>
    </w:p>
    <w:p>
      <w:pPr>
        <w:pStyle w:val="Heading1"/>
        <w:pBdr>
          <w:bottom w:val="single" w:color="EA580C" w:sz="12" w:space="6"/>
        </w:pBdr>
        <w:spacing w:after="180" w:before="420"/>
      </w:pPr>
      <w:r>
        <w:t xml:space="preserve">2. Recruitment Targets &amp; Funnel</w:t>
      </w:r>
    </w:p>
    <w:p>
      <w:pPr>
        <w:spacing w:after="150" w:line="276"/>
      </w:pPr>
      <w:r>
        <w:rPr>
          <w:rFonts w:ascii="Calibri" w:cs="Calibri" w:eastAsia="Calibri" w:hAnsi="Calibri"/>
          <w:i w:val="false"/>
          <w:iCs w:val="false"/>
          <w:color w:val="1E293B"/>
          <w:sz w:val="22"/>
          <w:szCs w:val="22"/>
        </w:rPr>
        <w:t xml:space="preserve">Rider supply is recruited and verified in a funnel, not hired in one step. Track conversion at every stage — a healthy funnel tells you where to invest more recruiting effort.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Stage</w:t>
            </w:r>
          </w:p>
        </w:tc>
        <w:tc>
          <w:tcPr>
            <w:tcW w:type="dxa" w:w="69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What happens</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Outreach</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A rider is approached or applies (kijiwe visit, referral, social media).</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Applied</w:t>
            </w:r>
          </w:p>
        </w:tc>
        <w:tc>
          <w:tcPr>
            <w:tcW w:type="dxa" w:w="6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Rider submits ID, licence, and vehicle documents through the app or a field agent.</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Verified</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Documents checked; rider approved to proceed to training.</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Trained</w:t>
            </w:r>
          </w:p>
        </w:tc>
        <w:tc>
          <w:tcPr>
            <w:tcW w:type="dxa" w:w="6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Rider completes the onboarding training session (Section 7).</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Activated</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Rider completes their first supervised delivery and is fully live.</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Weekly active</w:t>
            </w:r>
          </w:p>
        </w:tc>
        <w:tc>
          <w:tcPr>
            <w:tcW w:type="dxa" w:w="6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Rider completes at least one delivery in a given week — the real supply-health number to track.</w:t>
            </w:r>
          </w:p>
        </w:tc>
      </w:tr>
    </w:tbl>
    <w:p>
      <w:pPr>
        <w:spacing w:after="150" w:line="276"/>
      </w:pPr>
      <w:r>
        <w:rPr>
          <w:rFonts w:ascii="Calibri" w:cs="Calibri" w:eastAsia="Calibri" w:hAnsi="Calibri"/>
          <w:i/>
          <w:iCs/>
          <w:color w:val="1E293B"/>
          <w:sz w:val="22"/>
          <w:szCs w:val="22"/>
        </w:rPr>
        <w:t xml:space="preserve">Illustrative example only: if the Phase 1 goal is roughly 150–250 weekly-active riders at launch, and historical marketplace-launch funnels typically convert somewhere in the range of 30–50% from Applied to Activated, plan outreach volume accordingly and validate the real conversion rate from your first two weeks of data rather than assuming this holds.</w:t>
      </w:r>
    </w:p>
    <w:p>
      <w:pPr>
        <w:pStyle w:val="Heading1"/>
        <w:pBdr>
          <w:bottom w:val="single" w:color="EA580C" w:sz="12" w:space="6"/>
        </w:pBdr>
        <w:spacing w:after="180" w:before="420"/>
      </w:pPr>
      <w:r>
        <w:t xml:space="preserve">3. Where to Find Riders</w:t>
      </w:r>
    </w:p>
    <w:p>
      <w:pPr>
        <w:pStyle w:val="Heading2"/>
        <w:spacing w:after="120" w:before="300"/>
      </w:pPr>
      <w:r>
        <w:t xml:space="preserve">Vijiwe (Bodaboda Stages) — the primary channel</w:t>
      </w:r>
    </w:p>
    <w:p>
      <w:pPr>
        <w:spacing w:after="150" w:line="276"/>
      </w:pPr>
      <w:r>
        <w:rPr>
          <w:rFonts w:ascii="Calibri" w:cs="Calibri" w:eastAsia="Calibri" w:hAnsi="Calibri"/>
          <w:i w:val="false"/>
          <w:iCs w:val="false"/>
          <w:color w:val="1E293B"/>
          <w:sz w:val="22"/>
          <w:szCs w:val="22"/>
        </w:rPr>
        <w:t xml:space="preserve">Dar es Salaam’s bodaboda riders organize informally around kijiwe (plural: vijiwe) — the stages or stands where riders gather to wait for passengers. This is the highest-density, lowest-cost recruitment channel available: a single kijiwe visit can reach a dozen or more active riders at once, all already earning a living on a motorcycle. Recruitment should be organized stage by stage across target districts, not as scattered individual sign-ups.</w:t>
      </w:r>
    </w:p>
    <w:p>
      <w:pPr>
        <w:pStyle w:val="Heading2"/>
        <w:spacing w:after="120" w:before="300"/>
      </w:pPr>
      <w:r>
        <w:t xml:space="preserve">Associations and unions</w:t>
      </w:r>
    </w:p>
    <w:p>
      <w:pPr>
        <w:spacing w:after="150" w:line="276"/>
      </w:pPr>
      <w:r>
        <w:rPr>
          <w:rFonts w:ascii="Calibri" w:cs="Calibri" w:eastAsia="Calibri" w:hAnsi="Calibri"/>
          <w:i w:val="false"/>
          <w:iCs w:val="false"/>
          <w:color w:val="1E293B"/>
          <w:sz w:val="22"/>
          <w:szCs w:val="22"/>
        </w:rPr>
        <w:t xml:space="preserve">Riders in Tanzania increasingly organize through associations and unions — including the Tanzania Bodaboda Association and the Communication and Transport Workers Union of Tanzania (COTWU-T) — that advocate on pay, safety, and working conditions. Approaching a stage or district through its recognized leadership first, rather than around it, builds trust and access to many riders at once.</w:t>
      </w:r>
    </w:p>
    <w:p>
      <w:pPr>
        <w:pStyle w:val="Heading2"/>
        <w:spacing w:after="120" w:before="300"/>
      </w:pPr>
      <w:r>
        <w:t xml:space="preserve">Other channels</w:t>
      </w:r>
    </w:p>
    <w:p>
      <w:pPr>
        <w:pStyle w:val="ListParagraph"/>
        <w:numPr>
          <w:ilvl w:val="0"/>
          <w:numId w:val="2"/>
        </w:numPr>
        <w:spacing w:after="90" w:line="264"/>
      </w:pPr>
      <w:r>
        <w:rPr>
          <w:rFonts w:ascii="Calibri" w:cs="Calibri" w:eastAsia="Calibri" w:hAnsi="Calibri"/>
          <w:color w:val="1E293B"/>
          <w:sz w:val="22"/>
          <w:szCs w:val="22"/>
        </w:rPr>
        <w:t xml:space="preserve">Referral program — existing WAZZAR riders refer others; the strongest channel once the first cohort is active (see Section 9).</w:t>
      </w:r>
    </w:p>
    <w:p>
      <w:pPr>
        <w:pStyle w:val="ListParagraph"/>
        <w:numPr>
          <w:ilvl w:val="0"/>
          <w:numId w:val="2"/>
        </w:numPr>
        <w:spacing w:after="90" w:line="264"/>
      </w:pPr>
      <w:r>
        <w:rPr>
          <w:rFonts w:ascii="Calibri" w:cs="Calibri" w:eastAsia="Calibri" w:hAnsi="Calibri"/>
          <w:color w:val="1E293B"/>
          <w:sz w:val="22"/>
          <w:szCs w:val="22"/>
        </w:rPr>
        <w:t xml:space="preserve">Driving schools and vocational centres — partner with local motorcycle training programs for a pipeline of newly licensed riders.</w:t>
      </w:r>
    </w:p>
    <w:p>
      <w:pPr>
        <w:pStyle w:val="ListParagraph"/>
        <w:numPr>
          <w:ilvl w:val="0"/>
          <w:numId w:val="2"/>
        </w:numPr>
        <w:spacing w:after="90" w:line="264"/>
      </w:pPr>
      <w:r>
        <w:rPr>
          <w:rFonts w:ascii="Calibri" w:cs="Calibri" w:eastAsia="Calibri" w:hAnsi="Calibri"/>
          <w:color w:val="1E293B"/>
          <w:sz w:val="22"/>
          <w:szCs w:val="22"/>
        </w:rPr>
        <w:t xml:space="preserve">Motorcycle dealers and asset financiers — partner with dealers/lenders serving riders who need a bike, as a joint acquisition channel.</w:t>
      </w:r>
    </w:p>
    <w:p>
      <w:pPr>
        <w:pStyle w:val="ListParagraph"/>
        <w:numPr>
          <w:ilvl w:val="0"/>
          <w:numId w:val="2"/>
        </w:numPr>
        <w:spacing w:after="90" w:line="264"/>
      </w:pPr>
      <w:r>
        <w:rPr>
          <w:rFonts w:ascii="Calibri" w:cs="Calibri" w:eastAsia="Calibri" w:hAnsi="Calibri"/>
          <w:color w:val="1E293B"/>
          <w:sz w:val="22"/>
          <w:szCs w:val="22"/>
        </w:rPr>
        <w:t xml:space="preserve">Social media and WhatsApp — lower cost, lower trust; best used to reinforce a channel above, not as the primary source.</w:t>
      </w:r>
    </w:p>
    <w:p>
      <w:pPr>
        <w:pStyle w:val="Heading1"/>
        <w:pBdr>
          <w:bottom w:val="single" w:color="EA580C" w:sz="12" w:space="6"/>
        </w:pBdr>
        <w:spacing w:after="180" w:before="420"/>
      </w:pPr>
      <w:r>
        <w:t xml:space="preserve">4. The Field Recruitment Team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Role</w:t>
            </w:r>
          </w:p>
        </w:tc>
        <w:tc>
          <w:tcPr>
            <w:tcW w:type="dxa" w:w="65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Responsibility</w:t>
            </w:r>
          </w:p>
        </w:tc>
      </w:tr>
      <w:tr>
        <w:tc>
          <w:tcPr>
            <w:tcW w:type="dxa" w:w="30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City Operations Manager</w:t>
            </w:r>
          </w:p>
        </w:tc>
        <w:tc>
          <w:tcPr>
            <w:tcW w:type="dxa" w:w="65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Owns the city’s rider-supply targets, funnel health, and relationships with associations/regulators.</w:t>
            </w:r>
          </w:p>
        </w:tc>
      </w:tr>
      <w:tr>
        <w:tc>
          <w:tcPr>
            <w:tcW w:type="dxa" w:w="30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Field Recruiters (2–4 for launch)</w:t>
            </w:r>
          </w:p>
        </w:tc>
        <w:tc>
          <w:tcPr>
            <w:tcW w:type="dxa" w:w="65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Run kijiwe visits, pitch the opportunity, collect initial documents.</w:t>
            </w:r>
          </w:p>
        </w:tc>
      </w:tr>
      <w:tr>
        <w:tc>
          <w:tcPr>
            <w:tcW w:type="dxa" w:w="30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Verification Officer</w:t>
            </w:r>
          </w:p>
        </w:tc>
        <w:tc>
          <w:tcPr>
            <w:tcW w:type="dxa" w:w="65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Checks ID, licence, vehicle, and insurance documents; approves or rejects applications.</w:t>
            </w:r>
          </w:p>
        </w:tc>
      </w:tr>
      <w:tr>
        <w:tc>
          <w:tcPr>
            <w:tcW w:type="dxa" w:w="30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Trainer</w:t>
            </w:r>
          </w:p>
        </w:tc>
        <w:tc>
          <w:tcPr>
            <w:tcW w:type="dxa" w:w="65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Runs onboarding training sessions (Section 7).</w:t>
            </w:r>
          </w:p>
        </w:tc>
      </w:tr>
      <w:tr>
        <w:tc>
          <w:tcPr>
            <w:tcW w:type="dxa" w:w="30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Rider Support Lead</w:t>
            </w:r>
          </w:p>
        </w:tc>
        <w:tc>
          <w:tcPr>
            <w:tcW w:type="dxa" w:w="65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Owns the support channel, grievances, and the rider community (Section 10).</w:t>
            </w:r>
          </w:p>
        </w:tc>
      </w:tr>
    </w:tbl>
    <w:p>
      <w:pPr>
        <w:pStyle w:val="Heading1"/>
        <w:pBdr>
          <w:bottom w:val="single" w:color="EA580C" w:sz="12" w:space="6"/>
        </w:pBdr>
        <w:spacing w:after="180" w:before="420"/>
      </w:pPr>
      <w:r>
        <w:t xml:space="preserve">5. The Kijiwe Visit — Step by Step</w:t>
      </w:r>
    </w:p>
    <w:p>
      <w:pPr>
        <w:pStyle w:val="ListParagraph"/>
        <w:numPr>
          <w:ilvl w:val="0"/>
          <w:numId w:val="3"/>
        </w:numPr>
        <w:spacing w:after="90" w:line="264"/>
      </w:pPr>
      <w:r>
        <w:rPr>
          <w:rFonts w:ascii="Calibri" w:cs="Calibri" w:eastAsia="Calibri" w:hAnsi="Calibri"/>
          <w:color w:val="1E293B"/>
          <w:sz w:val="22"/>
          <w:szCs w:val="22"/>
        </w:rPr>
        <w:t xml:space="preserve">Scout — identify target stages by district using local knowledge and, once live, delivery-demand density from the app.</w:t>
      </w:r>
    </w:p>
    <w:p>
      <w:pPr>
        <w:pStyle w:val="ListParagraph"/>
        <w:numPr>
          <w:ilvl w:val="0"/>
          <w:numId w:val="3"/>
        </w:numPr>
        <w:spacing w:after="90" w:line="264"/>
      </w:pPr>
      <w:r>
        <w:rPr>
          <w:rFonts w:ascii="Calibri" w:cs="Calibri" w:eastAsia="Calibri" w:hAnsi="Calibri"/>
          <w:color w:val="1E293B"/>
          <w:sz w:val="22"/>
          <w:szCs w:val="22"/>
        </w:rPr>
        <w:t xml:space="preserve">Introduce — approach stage leadership first, explain who WAZZAR is and why the visit, before pitching individual riders.</w:t>
      </w:r>
    </w:p>
    <w:p>
      <w:pPr>
        <w:pStyle w:val="ListParagraph"/>
        <w:numPr>
          <w:ilvl w:val="0"/>
          <w:numId w:val="3"/>
        </w:numPr>
        <w:spacing w:after="90" w:line="264"/>
      </w:pPr>
      <w:r>
        <w:rPr>
          <w:rFonts w:ascii="Calibri" w:cs="Calibri" w:eastAsia="Calibri" w:hAnsi="Calibri"/>
          <w:color w:val="1E293B"/>
          <w:sz w:val="22"/>
          <w:szCs w:val="22"/>
        </w:rPr>
        <w:t xml:space="preserve">Pitch — explain the earnings opportunity in concrete terms: how matching works, how payouts work, and what it costs to join (nothing, ideally — see incentive structure).</w:t>
      </w:r>
    </w:p>
    <w:p>
      <w:pPr>
        <w:pStyle w:val="ListParagraph"/>
        <w:numPr>
          <w:ilvl w:val="0"/>
          <w:numId w:val="3"/>
        </w:numPr>
        <w:spacing w:after="90" w:line="264"/>
      </w:pPr>
      <w:r>
        <w:t>Demo — show the Rider app live on a phone; let interested riders try the interface themselves. [NOTE: Rider app is currently UI-only on mock data and not yet wired to the backend. Operational procedures assuming live data (earnings, order queue) are not yet testable.]</w:t>
      </w:r>
    </w:p>
    <w:p>
      <w:pPr>
        <w:pStyle w:val="ListParagraph"/>
        <w:numPr>
          <w:ilvl w:val="0"/>
          <w:numId w:val="3"/>
        </w:numPr>
        <w:spacing w:after="90" w:line="264"/>
      </w:pPr>
      <w:r>
        <w:rPr>
          <w:rFonts w:ascii="Calibri" w:cs="Calibri" w:eastAsia="Calibri" w:hAnsi="Calibri"/>
          <w:color w:val="1E293B"/>
          <w:sz w:val="22"/>
          <w:szCs w:val="22"/>
        </w:rPr>
        <w:t xml:space="preserve">Collect — gather initial documents on the spot where possible (photo of ID, licence, registration) to remove the biggest onboarding drop-off point: “come back later.”</w:t>
      </w:r>
    </w:p>
    <w:p>
      <w:pPr>
        <w:pStyle w:val="ListParagraph"/>
        <w:numPr>
          <w:ilvl w:val="0"/>
          <w:numId w:val="3"/>
        </w:numPr>
        <w:spacing w:after="90" w:line="264"/>
      </w:pPr>
      <w:r>
        <w:rPr>
          <w:rFonts w:ascii="Calibri" w:cs="Calibri" w:eastAsia="Calibri" w:hAnsi="Calibri"/>
          <w:color w:val="1E293B"/>
          <w:sz w:val="22"/>
          <w:szCs w:val="22"/>
        </w:rPr>
        <w:t xml:space="preserve">Schedule — book a verification/training slot before leaving the stage, not “we’ll call you.”</w:t>
      </w:r>
    </w:p>
    <w:p>
      <w:pPr>
        <w:pStyle w:val="ListParagraph"/>
        <w:numPr>
          <w:ilvl w:val="0"/>
          <w:numId w:val="3"/>
        </w:numPr>
        <w:spacing w:after="90" w:line="264"/>
      </w:pPr>
      <w:r>
        <w:rPr>
          <w:rFonts w:ascii="Calibri" w:cs="Calibri" w:eastAsia="Calibri" w:hAnsi="Calibri"/>
          <w:color w:val="1E293B"/>
          <w:sz w:val="22"/>
          <w:szCs w:val="22"/>
        </w:rPr>
        <w:t xml:space="preserve">Follow up — a same-week reminder call or message significantly improves show-up rate for the training session.</w:t>
      </w:r>
    </w:p>
    <w:p>
      <w:pPr>
        <w:pStyle w:val="Heading1"/>
        <w:pBdr>
          <w:bottom w:val="single" w:color="EA580C" w:sz="12" w:space="6"/>
        </w:pBdr>
        <w:spacing w:after="180" w:before="420"/>
      </w:pPr>
      <w:r>
        <w:t xml:space="preserve">6. Verification &amp; Onboarding Checklist</w:t>
      </w:r>
    </w:p>
    <w:p>
      <w:pPr>
        <w:spacing w:after="150" w:line="276"/>
      </w:pPr>
      <w:r>
        <w:rPr>
          <w:rFonts w:ascii="Calibri" w:cs="Calibri" w:eastAsia="Calibri" w:hAnsi="Calibri"/>
          <w:i w:val="false"/>
          <w:iCs w:val="false"/>
          <w:color w:val="1E293B"/>
          <w:sz w:val="22"/>
          <w:szCs w:val="22"/>
        </w:rPr>
        <w:t xml:space="preserve">Required before a rider is approved to train:</w:t>
      </w:r>
    </w:p>
    <w:p>
      <w:pPr>
        <w:spacing w:after="90" w:line="264"/>
        <w:ind w:left="460"/>
      </w:pPr>
      <w:r>
        <w:rPr>
          <w:rFonts w:ascii="Calibri" w:cs="Calibri" w:eastAsia="Calibri" w:hAnsi="Calibri"/>
          <w:b/>
          <w:bCs/>
          <w:color w:val="EA580C"/>
          <w:sz w:val="22"/>
          <w:szCs w:val="22"/>
        </w:rPr>
        <w:t xml:space="preserve">☐  </w:t>
      </w:r>
      <w:r>
        <w:rPr>
          <w:rFonts w:ascii="Calibri" w:cs="Calibri" w:eastAsia="Calibri" w:hAnsi="Calibri"/>
          <w:color w:val="1E293B"/>
          <w:sz w:val="22"/>
          <w:szCs w:val="22"/>
        </w:rPr>
        <w:t xml:space="preserve">Valid national identity document</w:t>
      </w:r>
    </w:p>
    <w:p>
      <w:pPr>
        <w:spacing w:after="90" w:line="264"/>
        <w:ind w:left="460"/>
      </w:pPr>
      <w:r>
        <w:rPr>
          <w:rFonts w:ascii="Calibri" w:cs="Calibri" w:eastAsia="Calibri" w:hAnsi="Calibri"/>
          <w:b/>
          <w:bCs/>
          <w:color w:val="EA580C"/>
          <w:sz w:val="22"/>
          <w:szCs w:val="22"/>
        </w:rPr>
        <w:t xml:space="preserve">☐  </w:t>
      </w:r>
      <w:r>
        <w:rPr>
          <w:rFonts w:ascii="Calibri" w:cs="Calibri" w:eastAsia="Calibri" w:hAnsi="Calibri"/>
          <w:color w:val="1E293B"/>
          <w:sz w:val="22"/>
          <w:szCs w:val="22"/>
        </w:rPr>
        <w:t xml:space="preserve">Valid motorcycle riding licence, correct class</w:t>
      </w:r>
    </w:p>
    <w:p>
      <w:pPr>
        <w:spacing w:after="90" w:line="264"/>
        <w:ind w:left="460"/>
      </w:pPr>
      <w:r>
        <w:rPr>
          <w:rFonts w:ascii="Calibri" w:cs="Calibri" w:eastAsia="Calibri" w:hAnsi="Calibri"/>
          <w:b/>
          <w:bCs/>
          <w:color w:val="EA580C"/>
          <w:sz w:val="22"/>
          <w:szCs w:val="22"/>
        </w:rPr>
        <w:t xml:space="preserve">☐  </w:t>
      </w:r>
      <w:r>
        <w:rPr>
          <w:rFonts w:ascii="Calibri" w:cs="Calibri" w:eastAsia="Calibri" w:hAnsi="Calibri"/>
          <w:color w:val="1E293B"/>
          <w:sz w:val="22"/>
          <w:szCs w:val="22"/>
        </w:rPr>
        <w:t xml:space="preserve">Motorcycle registration in the rider’s name, or written authorisation to operate it</w:t>
      </w:r>
    </w:p>
    <w:p>
      <w:pPr>
        <w:spacing w:after="90" w:line="264"/>
        <w:ind w:left="460"/>
      </w:pPr>
      <w:r>
        <w:rPr>
          <w:rFonts w:ascii="Calibri" w:cs="Calibri" w:eastAsia="Calibri" w:hAnsi="Calibri"/>
          <w:b/>
          <w:bCs/>
          <w:color w:val="EA580C"/>
          <w:sz w:val="22"/>
          <w:szCs w:val="22"/>
        </w:rPr>
        <w:t xml:space="preserve">☐  </w:t>
      </w:r>
      <w:r>
        <w:rPr>
          <w:rFonts w:ascii="Calibri" w:cs="Calibri" w:eastAsia="Calibri" w:hAnsi="Calibri"/>
          <w:color w:val="1E293B"/>
          <w:sz w:val="22"/>
          <w:szCs w:val="22"/>
        </w:rPr>
        <w:t xml:space="preserve">Valid motor insurance covering commercial/passenger use</w:t>
      </w:r>
    </w:p>
    <w:p>
      <w:pPr>
        <w:spacing w:after="90" w:line="264"/>
        <w:ind w:left="460"/>
      </w:pPr>
      <w:r>
        <w:t>☐  Working smartphone able to run the Rider app [NOTE: Rider app is currently UI-only on mock data and not yet wired to the backend. Operational procedures assuming live data (earnings, order queue) are not yet testable.]</w:t>
      </w:r>
    </w:p>
    <w:p>
      <w:pPr>
        <w:spacing w:after="90" w:line="264"/>
        <w:ind w:left="460"/>
      </w:pPr>
      <w:r>
        <w:rPr>
          <w:rFonts w:ascii="Calibri" w:cs="Calibri" w:eastAsia="Calibri" w:hAnsi="Calibri"/>
          <w:b/>
          <w:bCs/>
          <w:color w:val="EA580C"/>
          <w:sz w:val="22"/>
          <w:szCs w:val="22"/>
        </w:rPr>
        <w:t xml:space="preserve">☐  </w:t>
      </w:r>
      <w:r>
        <w:rPr>
          <w:rFonts w:ascii="Calibri" w:cs="Calibri" w:eastAsia="Calibri" w:hAnsi="Calibri"/>
          <w:color w:val="1E293B"/>
          <w:sz w:val="22"/>
          <w:szCs w:val="22"/>
        </w:rPr>
        <w:t xml:space="preserve">Signed Rider Partner Agreement</w:t>
      </w:r>
    </w:p>
    <w:p>
      <w:pPr>
        <w:spacing w:after="90" w:line="264"/>
        <w:ind w:left="460"/>
      </w:pPr>
      <w:r>
        <w:rPr>
          <w:rFonts w:ascii="Calibri" w:cs="Calibri" w:eastAsia="Calibri" w:hAnsi="Calibri"/>
          <w:b/>
          <w:bCs/>
          <w:color w:val="EA580C"/>
          <w:sz w:val="22"/>
          <w:szCs w:val="22"/>
        </w:rPr>
        <w:t xml:space="preserve">☐  </w:t>
      </w:r>
      <w:r>
        <w:rPr>
          <w:rFonts w:ascii="Calibri" w:cs="Calibri" w:eastAsia="Calibri" w:hAnsi="Calibri"/>
          <w:color w:val="1E293B"/>
          <w:sz w:val="22"/>
          <w:szCs w:val="22"/>
        </w:rPr>
        <w:t xml:space="preserve">Emergency contact on file</w:t>
      </w:r>
    </w:p>
    <w:p>
      <w:pPr>
        <w:spacing w:after="150" w:line="276"/>
      </w:pPr>
      <w:r>
        <w:rPr>
          <w:rFonts w:ascii="Calibri" w:cs="Calibri" w:eastAsia="Calibri" w:hAnsi="Calibri"/>
          <w:i w:val="false"/>
          <w:iCs w:val="false"/>
          <w:color w:val="1E293B"/>
          <w:sz w:val="22"/>
          <w:szCs w:val="22"/>
        </w:rPr>
        <w:t xml:space="preserve">Target turnaround: same-week from document submission to a training slot — every extra day of delay measurably increases drop-off.</w:t>
      </w:r>
    </w:p>
    <w:p>
      <w:pPr>
        <w:pStyle w:val="Heading1"/>
        <w:pBdr>
          <w:bottom w:val="single" w:color="EA580C" w:sz="12" w:space="6"/>
        </w:pBdr>
        <w:spacing w:after="180" w:before="420"/>
      </w:pPr>
      <w:r>
        <w:t xml:space="preserve">7. Rider Training Program</w:t>
      </w:r>
    </w:p>
    <w:p>
      <w:pPr>
        <w:spacing w:after="150" w:line="276"/>
      </w:pPr>
      <w:r>
        <w:rPr>
          <w:rFonts w:ascii="Calibri" w:cs="Calibri" w:eastAsia="Calibri" w:hAnsi="Calibri"/>
          <w:i w:val="false"/>
          <w:iCs w:val="false"/>
          <w:color w:val="1E293B"/>
          <w:sz w:val="22"/>
          <w:szCs w:val="22"/>
        </w:rPr>
        <w:t xml:space="preserve">A half-day in-person session, run in small cohorts (10–20 riders) so questions get answered directly, covering: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Module</w:t>
            </w:r>
          </w:p>
        </w:tc>
        <w:tc>
          <w:tcPr>
            <w:tcW w:type="dxa" w:w="71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Covers</w:t>
            </w:r>
          </w:p>
        </w:tc>
      </w:tr>
      <w:tr>
        <w:tc>
          <w:tcPr>
            <w:tcW w:type="dxa" w:w="24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App walkthrough</w:t>
            </w:r>
          </w:p>
        </w:tc>
        <w:tc>
          <w:tcPr>
            <w:tcW w:type="dxa" w:w="71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Going online/offline, accepting/declining jobs, navigation, proof of delivery, the wallet.</w:t>
            </w:r>
          </w:p>
        </w:tc>
      </w:tr>
      <w:tr>
        <w:tc>
          <w:tcPr>
            <w:tcW w:type="dxa" w:w="24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Safety</w:t>
            </w:r>
          </w:p>
        </w:tc>
        <w:tc>
          <w:tcPr>
            <w:tcW w:type="dxa" w:w="71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Helmet use, safe riding practice, and WAZZAR’s SOS/accident-response process (Section 12). Motorcycle accidents are a leading cause of road injury in Tanzania — this module is not a formality.</w:t>
            </w:r>
          </w:p>
        </w:tc>
      </w:tr>
      <w:tr>
        <w:tc>
          <w:tcPr>
            <w:tcW w:type="dxa" w:w="24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Package handling</w:t>
            </w:r>
          </w:p>
        </w:tc>
        <w:tc>
          <w:tcPr>
            <w:tcW w:type="dxa" w:w="71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Verifying pickup, handling fragile/food items, what to do if a package looks like a prohibited item.</w:t>
            </w:r>
          </w:p>
        </w:tc>
      </w:tr>
      <w:tr>
        <w:tc>
          <w:tcPr>
            <w:tcW w:type="dxa" w:w="24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Customer service</w:t>
            </w:r>
          </w:p>
        </w:tc>
        <w:tc>
          <w:tcPr>
            <w:tcW w:type="dxa" w:w="71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Professional conduct, communication via in-app chat/call, what good and bad interactions look like.</w:t>
            </w:r>
          </w:p>
        </w:tc>
      </w:tr>
      <w:tr>
        <w:tc>
          <w:tcPr>
            <w:tcW w:type="dxa" w:w="24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Earnings &amp; payouts</w:t>
            </w:r>
          </w:p>
        </w:tc>
        <w:tc>
          <w:tcPr>
            <w:tcW w:type="dxa" w:w="71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How commission works, how the wallet works, withdrawal process, incentive programs.</w:t>
            </w:r>
          </w:p>
        </w:tc>
      </w:tr>
      <w:tr>
        <w:tc>
          <w:tcPr>
            <w:tcW w:type="dxa" w:w="24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Code of conduct</w:t>
            </w:r>
          </w:p>
        </w:tc>
        <w:tc>
          <w:tcPr>
            <w:tcW w:type="dxa" w:w="71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Prohibited conduct, grounds for deactivation, and the appeals process — set expectations up front, not after a violation.</w:t>
            </w:r>
          </w:p>
        </w:tc>
      </w:tr>
    </w:tbl>
    <w:p>
      <w:pPr>
        <w:pStyle w:val="Heading1"/>
        <w:pBdr>
          <w:bottom w:val="single" w:color="EA580C" w:sz="12" w:space="6"/>
        </w:pBdr>
        <w:spacing w:after="180" w:before="420"/>
      </w:pPr>
      <w:r>
        <w:t xml:space="preserve">8. Activation &amp; Probation</w:t>
      </w:r>
    </w:p>
    <w:p>
      <w:pPr>
        <w:spacing w:after="150" w:line="276"/>
      </w:pPr>
      <w:r>
        <w:rPr>
          <w:rFonts w:ascii="Calibri" w:cs="Calibri" w:eastAsia="Calibri" w:hAnsi="Calibri"/>
          <w:i w:val="false"/>
          <w:iCs w:val="false"/>
          <w:color w:val="1E293B"/>
          <w:sz w:val="22"/>
          <w:szCs w:val="22"/>
        </w:rPr>
        <w:t xml:space="preserve">A rider’s first delivery after training should be treated as supervised, not just “first job”: a Field Recruiter or Trainer available by phone, quick check-in after completion. The first [2 weeks] are a probation window — full incentive eligibility (Section 9) is confirmed once a rider completes a minimum number of deliveries with an acceptable completion rate, filtering for genuine engagement before the platform invests further in that rider.</w:t>
      </w:r>
    </w:p>
    <w:p>
      <w:pPr>
        <w:pStyle w:val="Heading1"/>
        <w:pBdr>
          <w:bottom w:val="single" w:color="EA580C" w:sz="12" w:space="6"/>
        </w:pBdr>
        <w:spacing w:after="180" w:before="420"/>
      </w:pPr>
      <w:r>
        <w:t xml:space="preserve">9. Launch Incentive Structure</w:t>
      </w:r>
    </w:p>
    <w:p>
      <w:pPr>
        <w:spacing w:after="150" w:line="276"/>
      </w:pPr>
      <w:r>
        <w:rPr>
          <w:rFonts w:ascii="Calibri" w:cs="Calibri" w:eastAsia="Calibri" w:hAnsi="Calibri"/>
          <w:i/>
          <w:iCs/>
          <w:color w:val="1E293B"/>
          <w:sz w:val="22"/>
          <w:szCs w:val="22"/>
        </w:rPr>
        <w:t xml:space="preserve">Illustrative structure to calibrate against real Phase 1 economics — the goal is building supply density fast during the launch window, not a permanent cost structure: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Incentive</w:t>
            </w:r>
          </w:p>
        </w:tc>
        <w:tc>
          <w:tcPr>
            <w:tcW w:type="dxa" w:w="69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Purpose</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Sign-on bonus</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Paid after activation (first N completed deliveries) — not on sign-up, to filter for real engagement.</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Referral bonus</w:t>
            </w:r>
          </w:p>
        </w:tc>
        <w:tc>
          <w:tcPr>
            <w:tcW w:type="dxa" w:w="6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Paid to an active rider when someone they referred reaches activation — turns your first cohort into a recruiting channel.</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Earnings guarantee (ramp-up only)</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A minimum weekly earnings floor for the first few weeks in a new stage/zone, while delivery volume in that area is still building.</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Streak bonus</w:t>
            </w:r>
          </w:p>
        </w:tc>
        <w:tc>
          <w:tcPr>
            <w:tcW w:type="dxa" w:w="6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Small bonus for consecutive days/weeks of activity — encourages habitual use of the app over one-off participation.</w:t>
            </w:r>
          </w:p>
        </w:tc>
      </w:tr>
    </w:tbl>
    <w:p>
      <w:pPr>
        <w:pStyle w:val="Heading1"/>
        <w:pBdr>
          <w:bottom w:val="single" w:color="EA580C" w:sz="12" w:space="6"/>
        </w:pBdr>
        <w:spacing w:after="180" w:before="420"/>
      </w:pPr>
      <w:r>
        <w:t xml:space="preserve">10. Ongoing Rider Support &amp; Retention</w:t>
      </w:r>
    </w:p>
    <w:p>
      <w:pPr>
        <w:pStyle w:val="Heading2"/>
        <w:spacing w:after="120" w:before="300"/>
      </w:pPr>
      <w:r>
        <w:t xml:space="preserve">Support channels</w:t>
      </w:r>
    </w:p>
    <w:p>
      <w:pPr>
        <w:pStyle w:val="ListParagraph"/>
        <w:numPr>
          <w:ilvl w:val="0"/>
          <w:numId w:val="2"/>
        </w:numPr>
        <w:spacing w:after="90" w:line="264"/>
      </w:pPr>
      <w:r>
        <w:rPr>
          <w:rFonts w:ascii="Calibri" w:cs="Calibri" w:eastAsia="Calibri" w:hAnsi="Calibri"/>
          <w:color w:val="1E293B"/>
          <w:sz w:val="22"/>
          <w:szCs w:val="22"/>
        </w:rPr>
        <w:t xml:space="preserve">In-app support chat/ticketing for day-to-day issues.</w:t>
      </w:r>
    </w:p>
    <w:p>
      <w:pPr>
        <w:pStyle w:val="ListParagraph"/>
        <w:numPr>
          <w:ilvl w:val="0"/>
          <w:numId w:val="2"/>
        </w:numPr>
        <w:spacing w:after="90" w:line="264"/>
      </w:pPr>
      <w:r>
        <w:rPr>
          <w:rFonts w:ascii="Calibri" w:cs="Calibri" w:eastAsia="Calibri" w:hAnsi="Calibri"/>
          <w:color w:val="1E293B"/>
          <w:sz w:val="22"/>
          <w:szCs w:val="22"/>
        </w:rPr>
        <w:t xml:space="preserve">A phone line for urgent issues (payment problems, safety incidents).</w:t>
      </w:r>
    </w:p>
    <w:p>
      <w:pPr>
        <w:pStyle w:val="ListParagraph"/>
        <w:numPr>
          <w:ilvl w:val="0"/>
          <w:numId w:val="2"/>
        </w:numPr>
        <w:spacing w:after="90" w:line="264"/>
      </w:pPr>
      <w:r>
        <w:rPr>
          <w:rFonts w:ascii="Calibri" w:cs="Calibri" w:eastAsia="Calibri" w:hAnsi="Calibri"/>
          <w:color w:val="1E293B"/>
          <w:sz w:val="22"/>
          <w:szCs w:val="22"/>
        </w:rPr>
        <w:t xml:space="preserve">A physical support point in the launch district for document issues, device problems, or riders who prefer face-to-face help — a real office, not just an app, matters in the early months.</w:t>
      </w:r>
    </w:p>
    <w:p>
      <w:pPr>
        <w:pStyle w:val="Heading2"/>
        <w:spacing w:after="120" w:before="300"/>
      </w:pPr>
      <w:r>
        <w:t xml:space="preserve">Rider community</w:t>
      </w:r>
    </w:p>
    <w:p>
      <w:pPr>
        <w:pStyle w:val="ListParagraph"/>
        <w:numPr>
          <w:ilvl w:val="0"/>
          <w:numId w:val="2"/>
        </w:numPr>
        <w:spacing w:after="90" w:line="264"/>
      </w:pPr>
      <w:r>
        <w:rPr>
          <w:rFonts w:ascii="Calibri" w:cs="Calibri" w:eastAsia="Calibri" w:hAnsi="Calibri"/>
          <w:color w:val="1E293B"/>
          <w:sz w:val="22"/>
          <w:szCs w:val="22"/>
        </w:rPr>
        <w:t xml:space="preserve">Zone- or stage-based WhatsApp groups run by the Rider Support Lead — mirrors how riders already organize around vijiwe, rather than fighting that structure.</w:t>
      </w:r>
    </w:p>
    <w:p>
      <w:pPr>
        <w:pStyle w:val="ListParagraph"/>
        <w:numPr>
          <w:ilvl w:val="0"/>
          <w:numId w:val="2"/>
        </w:numPr>
        <w:spacing w:after="90" w:line="264"/>
      </w:pPr>
      <w:r>
        <w:rPr>
          <w:rFonts w:ascii="Calibri" w:cs="Calibri" w:eastAsia="Calibri" w:hAnsi="Calibri"/>
          <w:color w:val="1E293B"/>
          <w:sz w:val="22"/>
          <w:szCs w:val="22"/>
        </w:rPr>
        <w:t xml:space="preserve">Regular in-person town halls, especially in the first months, to surface problems before they show up as churn.</w:t>
      </w:r>
    </w:p>
    <w:p>
      <w:pPr>
        <w:pStyle w:val="ListParagraph"/>
        <w:numPr>
          <w:ilvl w:val="0"/>
          <w:numId w:val="2"/>
        </w:numPr>
        <w:spacing w:after="90" w:line="264"/>
      </w:pPr>
      <w:r>
        <w:rPr>
          <w:rFonts w:ascii="Calibri" w:cs="Calibri" w:eastAsia="Calibri" w:hAnsi="Calibri"/>
          <w:color w:val="1E293B"/>
          <w:sz w:val="22"/>
          <w:szCs w:val="22"/>
        </w:rPr>
        <w:t xml:space="preserve">Visible recognition for top performers (leaderboards, small rewards) — cheap and effective for retention.</w:t>
      </w:r>
    </w:p>
    <w:p>
      <w:pPr>
        <w:pStyle w:val="Heading2"/>
        <w:spacing w:after="120" w:before="300"/>
      </w:pPr>
      <w:r>
        <w:t xml:space="preserve">Grievances</w:t>
      </w:r>
    </w:p>
    <w:p>
      <w:pPr>
        <w:spacing w:after="150" w:line="276"/>
      </w:pPr>
      <w:r>
        <w:rPr>
          <w:rFonts w:ascii="Calibri" w:cs="Calibri" w:eastAsia="Calibri" w:hAnsi="Calibri"/>
          <w:i w:val="false"/>
          <w:iCs w:val="false"/>
          <w:color w:val="1E293B"/>
          <w:sz w:val="22"/>
          <w:szCs w:val="22"/>
        </w:rPr>
        <w:t xml:space="preserve">Every rider complaint (unfair deactivation, payout dispute, unsafe customer behaviour) gets a ticket, a named owner, and a resolution time target. A sector with documented concerns about precarious conditions and unsafe treatment of riders means WAZZAR’s grievance handling is a genuine trust differentiator, not paperwork.</w:t>
      </w:r>
    </w:p>
    <w:p>
      <w:pPr>
        <w:pStyle w:val="Heading1"/>
        <w:pBdr>
          <w:bottom w:val="single" w:color="EA580C" w:sz="12" w:space="6"/>
        </w:pBdr>
        <w:spacing w:after="180" w:before="420"/>
      </w:pPr>
      <w:r>
        <w:t xml:space="preserve">11. Performance Management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Metric</w:t>
            </w:r>
          </w:p>
        </w:tc>
        <w:tc>
          <w:tcPr>
            <w:tcW w:type="dxa" w:w="69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Used for</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Acceptance rate</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Share of offered jobs accepted — low rates reduce matching efficiency for everyone.</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Completion rate</w:t>
            </w:r>
          </w:p>
        </w:tc>
        <w:tc>
          <w:tcPr>
            <w:tcW w:type="dxa" w:w="6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Share of accepted jobs actually completed.</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On-time rate</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Deliveries completed within the estimated window.</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Customer rating</w:t>
            </w:r>
          </w:p>
        </w:tc>
        <w:tc>
          <w:tcPr>
            <w:tcW w:type="dxa" w:w="6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Average rating from Customers over a rolling period.</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Safety incidents</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Accidents, SOS triggers, or verified safety complaints.</w:t>
            </w:r>
          </w:p>
        </w:tc>
      </w:tr>
    </w:tbl>
    <w:p>
      <w:pPr>
        <w:spacing w:after="150" w:line="276"/>
      </w:pPr>
      <w:r>
        <w:rPr>
          <w:rFonts w:ascii="Calibri" w:cs="Calibri" w:eastAsia="Calibri" w:hAnsi="Calibri"/>
          <w:i w:val="false"/>
          <w:iCs w:val="false"/>
          <w:color w:val="1E293B"/>
          <w:sz w:val="22"/>
          <w:szCs w:val="22"/>
        </w:rPr>
        <w:t xml:space="preserve">Coaching ladder before deactivation: a documented conversation and improvement window come first for performance issues; immediate deactivation is reserved for safety violations and fraud, consistent with the Rider Partner Agreement.</w:t>
      </w:r>
    </w:p>
    <w:p>
      <w:pPr>
        <w:pStyle w:val="Heading1"/>
        <w:pBdr>
          <w:bottom w:val="single" w:color="EA580C" w:sz="12" w:space="6"/>
        </w:pBdr>
        <w:spacing w:after="180" w:before="420"/>
      </w:pPr>
      <w:r>
        <w:t xml:space="preserve">12. Safety Protocols</w:t>
      </w:r>
    </w:p>
    <w:p>
      <w:pPr>
        <w:spacing w:after="150" w:line="276"/>
      </w:pPr>
      <w:r>
        <w:rPr>
          <w:rFonts w:ascii="Calibri" w:cs="Calibri" w:eastAsia="Calibri" w:hAnsi="Calibri"/>
          <w:i w:val="false"/>
          <w:iCs w:val="false"/>
          <w:color w:val="1E293B"/>
          <w:sz w:val="22"/>
          <w:szCs w:val="22"/>
        </w:rPr>
        <w:t xml:space="preserve">Motorcycle crashes account for a majority of road traffic injuries in Tanzania, which makes this section operational, not aspirational.</w:t>
      </w:r>
    </w:p>
    <w:p>
      <w:pPr>
        <w:pStyle w:val="Heading3"/>
        <w:spacing w:after="90" w:before="200"/>
      </w:pPr>
      <w:r>
        <w:t xml:space="preserve">SOS response</w:t>
      </w:r>
    </w:p>
    <w:p>
      <w:pPr>
        <w:pStyle w:val="ListParagraph"/>
        <w:numPr>
          <w:ilvl w:val="0"/>
          <w:numId w:val="4"/>
        </w:numPr>
        <w:spacing w:after="90" w:line="264"/>
      </w:pPr>
      <w:r>
        <w:rPr>
          <w:rFonts w:ascii="Calibri" w:cs="Calibri" w:eastAsia="Calibri" w:hAnsi="Calibri"/>
          <w:color w:val="1E293B"/>
          <w:sz w:val="22"/>
          <w:szCs w:val="22"/>
        </w:rPr>
        <w:t xml:space="preserve">Rider triggers SOS in-app or calls the support line.</w:t>
      </w:r>
    </w:p>
    <w:p>
      <w:pPr>
        <w:pStyle w:val="ListParagraph"/>
        <w:numPr>
          <w:ilvl w:val="0"/>
          <w:numId w:val="4"/>
        </w:numPr>
        <w:spacing w:after="90" w:line="264"/>
      </w:pPr>
      <w:r>
        <w:rPr>
          <w:rFonts w:ascii="Calibri" w:cs="Calibri" w:eastAsia="Calibri" w:hAnsi="Calibri"/>
          <w:color w:val="1E293B"/>
          <w:sz w:val="22"/>
          <w:szCs w:val="22"/>
        </w:rPr>
        <w:t xml:space="preserve">Support confirms rider location and status immediately.</w:t>
      </w:r>
    </w:p>
    <w:p>
      <w:pPr>
        <w:pStyle w:val="ListParagraph"/>
        <w:numPr>
          <w:ilvl w:val="0"/>
          <w:numId w:val="4"/>
        </w:numPr>
        <w:spacing w:after="90" w:line="264"/>
      </w:pPr>
      <w:r>
        <w:rPr>
          <w:rFonts w:ascii="Calibri" w:cs="Calibri" w:eastAsia="Calibri" w:hAnsi="Calibri"/>
          <w:color w:val="1E293B"/>
          <w:sz w:val="22"/>
          <w:szCs w:val="22"/>
        </w:rPr>
        <w:t xml:space="preserve">Support dispatches or coordinates local emergency assistance as needed and notifies the rider’s emergency contact.</w:t>
      </w:r>
    </w:p>
    <w:p>
      <w:pPr>
        <w:pStyle w:val="ListParagraph"/>
        <w:numPr>
          <w:ilvl w:val="0"/>
          <w:numId w:val="4"/>
        </w:numPr>
        <w:spacing w:after="90" w:line="264"/>
      </w:pPr>
      <w:r>
        <w:rPr>
          <w:rFonts w:ascii="Calibri" w:cs="Calibri" w:eastAsia="Calibri" w:hAnsi="Calibri"/>
          <w:color w:val="1E293B"/>
          <w:sz w:val="22"/>
          <w:szCs w:val="22"/>
        </w:rPr>
        <w:t xml:space="preserve">Incident is logged and reviewed by the City Operations Manager within 24 hours.</w:t>
      </w:r>
    </w:p>
    <w:p>
      <w:pPr>
        <w:pStyle w:val="Heading3"/>
        <w:spacing w:after="90" w:before="200"/>
      </w:pPr>
      <w:r>
        <w:t xml:space="preserve">Accident response</w:t>
      </w:r>
    </w:p>
    <w:p>
      <w:pPr>
        <w:pStyle w:val="ListParagraph"/>
        <w:numPr>
          <w:ilvl w:val="0"/>
          <w:numId w:val="2"/>
        </w:numPr>
        <w:spacing w:after="90" w:line="264"/>
      </w:pPr>
      <w:r>
        <w:rPr>
          <w:rFonts w:ascii="Calibri" w:cs="Calibri" w:eastAsia="Calibri" w:hAnsi="Calibri"/>
          <w:color w:val="1E293B"/>
          <w:sz w:val="22"/>
          <w:szCs w:val="22"/>
        </w:rPr>
        <w:t xml:space="preserve">Rider Support assists with reporting to Traffic Police as required and connects the rider to their insurance process.</w:t>
      </w:r>
    </w:p>
    <w:p>
      <w:pPr>
        <w:pStyle w:val="ListParagraph"/>
        <w:numPr>
          <w:ilvl w:val="0"/>
          <w:numId w:val="2"/>
        </w:numPr>
        <w:spacing w:after="90" w:line="264"/>
      </w:pPr>
      <w:r>
        <w:rPr>
          <w:rFonts w:ascii="Calibri" w:cs="Calibri" w:eastAsia="Calibri" w:hAnsi="Calibri"/>
          <w:color w:val="1E293B"/>
          <w:sz w:val="22"/>
          <w:szCs w:val="22"/>
        </w:rPr>
        <w:t xml:space="preserve">Any active delivery affected is reassigned and the Customer is proactively notified.</w:t>
      </w:r>
    </w:p>
    <w:p>
      <w:pPr>
        <w:pStyle w:val="ListParagraph"/>
        <w:numPr>
          <w:ilvl w:val="0"/>
          <w:numId w:val="2"/>
        </w:numPr>
        <w:spacing w:after="90" w:line="264"/>
      </w:pPr>
      <w:r>
        <w:rPr>
          <w:rFonts w:ascii="Calibri" w:cs="Calibri" w:eastAsia="Calibri" w:hAnsi="Calibri"/>
          <w:color w:val="1E293B"/>
          <w:sz w:val="22"/>
          <w:szCs w:val="22"/>
        </w:rPr>
        <w:t xml:space="preserve">A pattern of incidents at a specific location or time triggers a review — route risk, lighting, road conditions — rather than being treated as isolated events.</w:t>
      </w:r>
    </w:p>
    <w:p>
      <w:pPr>
        <w:pStyle w:val="Heading1"/>
        <w:pBdr>
          <w:bottom w:val="single" w:color="EA580C" w:sz="12" w:space="6"/>
        </w:pBdr>
        <w:spacing w:after="180" w:before="420"/>
      </w:pPr>
      <w:r>
        <w:t xml:space="preserve">13. Local Partnerships to Cultivate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900"/>
        <w:gridCol w:w="6600"/>
      </w:tblGrid>
      <w:tr>
        <w:trPr>
          <w:tblHeader/>
        </w:trPr>
        <w:tc>
          <w:tcPr>
            <w:tcW w:type="dxa" w:w="29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Partner</w:t>
            </w:r>
          </w:p>
        </w:tc>
        <w:tc>
          <w:tcPr>
            <w:tcW w:type="dxa" w:w="66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Why</w:t>
            </w:r>
          </w:p>
        </w:tc>
      </w:tr>
      <w:tr>
        <w:tc>
          <w:tcPr>
            <w:tcW w:type="dxa" w:w="2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LATRA (Land Transport Regulatory Authority)</w:t>
            </w:r>
          </w:p>
        </w:tc>
        <w:tc>
          <w:tcPr>
            <w:tcW w:type="dxa" w:w="6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The relevant regulator for land transport operations — confirm current licensing/registration expectations for motorcycle-taxi-based delivery operators.</w:t>
            </w:r>
          </w:p>
        </w:tc>
      </w:tr>
      <w:tr>
        <w:tc>
          <w:tcPr>
            <w:tcW w:type="dxa" w:w="2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Traffic Police</w:t>
            </w:r>
          </w:p>
        </w:tc>
        <w:tc>
          <w:tcPr>
            <w:tcW w:type="dxa" w:w="6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Road safety collaboration, accident-response coordination.</w:t>
            </w:r>
          </w:p>
        </w:tc>
      </w:tr>
      <w:tr>
        <w:tc>
          <w:tcPr>
            <w:tcW w:type="dxa" w:w="2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Tanzania Bodaboda Association / local kijiwe leadership</w:t>
            </w:r>
          </w:p>
        </w:tc>
        <w:tc>
          <w:tcPr>
            <w:tcW w:type="dxa" w:w="6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Trust and access — the fastest path to riders is through recognized leadership, not around it.</w:t>
            </w:r>
          </w:p>
        </w:tc>
      </w:tr>
      <w:tr>
        <w:tc>
          <w:tcPr>
            <w:tcW w:type="dxa" w:w="2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COTWU-T and similar unions</w:t>
            </w:r>
          </w:p>
        </w:tc>
        <w:tc>
          <w:tcPr>
            <w:tcW w:type="dxa" w:w="6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Understanding and getting ahead of sector-wide concerns about working conditions before they become WAZZAR-specific complaints.</w:t>
            </w:r>
          </w:p>
        </w:tc>
      </w:tr>
      <w:tr>
        <w:tc>
          <w:tcPr>
            <w:tcW w:type="dxa" w:w="2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Driving schools / vocational centres</w:t>
            </w:r>
          </w:p>
        </w:tc>
        <w:tc>
          <w:tcPr>
            <w:tcW w:type="dxa" w:w="6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A pipeline of newly licensed riders.</w:t>
            </w:r>
          </w:p>
        </w:tc>
      </w:tr>
      <w:tr>
        <w:tc>
          <w:tcPr>
            <w:tcW w:type="dxa" w:w="2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Insurance providers</w:t>
            </w:r>
          </w:p>
        </w:tc>
        <w:tc>
          <w:tcPr>
            <w:tcW w:type="dxa" w:w="6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Group or referral insurance products for riders, and a faster claims path after incidents.</w:t>
            </w:r>
          </w:p>
        </w:tc>
      </w:tr>
      <w:tr>
        <w:tc>
          <w:tcPr>
            <w:tcW w:type="dxa" w:w="2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Mobile money agents</w:t>
            </w:r>
          </w:p>
        </w:tc>
        <w:tc>
          <w:tcPr>
            <w:tcW w:type="dxa" w:w="6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Cash-in/cash-out support for riders less familiar with digital wallets.</w:t>
            </w:r>
          </w:p>
        </w:tc>
      </w:tr>
    </w:tbl>
    <w:p>
      <w:pPr>
        <w:pStyle w:val="Heading1"/>
        <w:pBdr>
          <w:bottom w:val="single" w:color="EA580C" w:sz="12" w:space="6"/>
        </w:pBdr>
        <w:spacing w:after="180" w:before="420"/>
      </w:pPr>
      <w:r>
        <w:t xml:space="preserve">14. Launch Week Operations Checklist</w:t>
      </w:r>
    </w:p>
    <w:p>
      <w:pPr>
        <w:spacing w:after="90" w:line="264"/>
        <w:ind w:left="460"/>
      </w:pPr>
      <w:r>
        <w:rPr>
          <w:rFonts w:ascii="Calibri" w:cs="Calibri" w:eastAsia="Calibri" w:hAnsi="Calibri"/>
          <w:b/>
          <w:bCs/>
          <w:color w:val="EA580C"/>
          <w:sz w:val="22"/>
          <w:szCs w:val="22"/>
        </w:rPr>
        <w:t xml:space="preserve">☐  </w:t>
      </w:r>
      <w:r>
        <w:rPr>
          <w:rFonts w:ascii="Calibri" w:cs="Calibri" w:eastAsia="Calibri" w:hAnsi="Calibri"/>
          <w:color w:val="1E293B"/>
          <w:sz w:val="22"/>
          <w:szCs w:val="22"/>
        </w:rPr>
        <w:t xml:space="preserve">Confirm weekly-active rider count against the Phase 1 target for the launch district</w:t>
      </w:r>
    </w:p>
    <w:p>
      <w:pPr>
        <w:spacing w:after="90" w:line="264"/>
        <w:ind w:left="460"/>
      </w:pPr>
      <w:r>
        <w:rPr>
          <w:rFonts w:ascii="Calibri" w:cs="Calibri" w:eastAsia="Calibri" w:hAnsi="Calibri"/>
          <w:b/>
          <w:bCs/>
          <w:color w:val="EA580C"/>
          <w:sz w:val="22"/>
          <w:szCs w:val="22"/>
        </w:rPr>
        <w:t xml:space="preserve">☐  </w:t>
      </w:r>
      <w:r>
        <w:rPr>
          <w:rFonts w:ascii="Calibri" w:cs="Calibri" w:eastAsia="Calibri" w:hAnsi="Calibri"/>
          <w:color w:val="1E293B"/>
          <w:sz w:val="22"/>
          <w:szCs w:val="22"/>
        </w:rPr>
        <w:t xml:space="preserve">Field Recruiters stationed at the highest-priority vijiwe daily</w:t>
      </w:r>
    </w:p>
    <w:p>
      <w:pPr>
        <w:spacing w:after="90" w:line="264"/>
        <w:ind w:left="460"/>
      </w:pPr>
      <w:r>
        <w:rPr>
          <w:rFonts w:ascii="Calibri" w:cs="Calibri" w:eastAsia="Calibri" w:hAnsi="Calibri"/>
          <w:b/>
          <w:bCs/>
          <w:color w:val="EA580C"/>
          <w:sz w:val="22"/>
          <w:szCs w:val="22"/>
        </w:rPr>
        <w:t xml:space="preserve">☐  </w:t>
      </w:r>
      <w:r>
        <w:rPr>
          <w:rFonts w:ascii="Calibri" w:cs="Calibri" w:eastAsia="Calibri" w:hAnsi="Calibri"/>
          <w:color w:val="1E293B"/>
          <w:sz w:val="22"/>
          <w:szCs w:val="22"/>
        </w:rPr>
        <w:t xml:space="preserve">Verification turnaround holding at same-week</w:t>
      </w:r>
    </w:p>
    <w:p>
      <w:pPr>
        <w:spacing w:after="90" w:line="264"/>
        <w:ind w:left="460"/>
      </w:pPr>
      <w:r>
        <w:rPr>
          <w:rFonts w:ascii="Calibri" w:cs="Calibri" w:eastAsia="Calibri" w:hAnsi="Calibri"/>
          <w:b/>
          <w:bCs/>
          <w:color w:val="EA580C"/>
          <w:sz w:val="22"/>
          <w:szCs w:val="22"/>
        </w:rPr>
        <w:t xml:space="preserve">☐  </w:t>
      </w:r>
      <w:r>
        <w:rPr>
          <w:rFonts w:ascii="Calibri" w:cs="Calibri" w:eastAsia="Calibri" w:hAnsi="Calibri"/>
          <w:color w:val="1E293B"/>
          <w:sz w:val="22"/>
          <w:szCs w:val="22"/>
        </w:rPr>
        <w:t xml:space="preserve">Support line and physical support point staffed and tested</w:t>
      </w:r>
    </w:p>
    <w:p>
      <w:pPr>
        <w:spacing w:after="90" w:line="264"/>
        <w:ind w:left="460"/>
      </w:pPr>
      <w:r>
        <w:rPr>
          <w:rFonts w:ascii="Calibri" w:cs="Calibri" w:eastAsia="Calibri" w:hAnsi="Calibri"/>
          <w:b/>
          <w:bCs/>
          <w:color w:val="EA580C"/>
          <w:sz w:val="22"/>
          <w:szCs w:val="22"/>
        </w:rPr>
        <w:t xml:space="preserve">☐  </w:t>
      </w:r>
      <w:r>
        <w:rPr>
          <w:rFonts w:ascii="Calibri" w:cs="Calibri" w:eastAsia="Calibri" w:hAnsi="Calibri"/>
          <w:color w:val="1E293B"/>
          <w:sz w:val="22"/>
          <w:szCs w:val="22"/>
        </w:rPr>
        <w:t xml:space="preserve">First cohort’s WhatsApp community group live</w:t>
      </w:r>
    </w:p>
    <w:p>
      <w:pPr>
        <w:spacing w:after="90" w:line="264"/>
        <w:ind w:left="460"/>
      </w:pPr>
      <w:r>
        <w:rPr>
          <w:rFonts w:ascii="Calibri" w:cs="Calibri" w:eastAsia="Calibri" w:hAnsi="Calibri"/>
          <w:b/>
          <w:bCs/>
          <w:color w:val="EA580C"/>
          <w:sz w:val="22"/>
          <w:szCs w:val="22"/>
        </w:rPr>
        <w:t xml:space="preserve">☐  </w:t>
      </w:r>
      <w:r>
        <w:rPr>
          <w:rFonts w:ascii="Calibri" w:cs="Calibri" w:eastAsia="Calibri" w:hAnsi="Calibri"/>
          <w:color w:val="1E293B"/>
          <w:sz w:val="22"/>
          <w:szCs w:val="22"/>
        </w:rPr>
        <w:t xml:space="preserve">Daily supply-vs-demand check by zone and time of day — identify and fill gaps immediately</w:t>
      </w:r>
    </w:p>
    <w:p>
      <w:pPr>
        <w:spacing w:after="90" w:line="264"/>
        <w:ind w:left="460"/>
      </w:pPr>
      <w:r>
        <w:rPr>
          <w:rFonts w:ascii="Calibri" w:cs="Calibri" w:eastAsia="Calibri" w:hAnsi="Calibri"/>
          <w:b/>
          <w:bCs/>
          <w:color w:val="EA580C"/>
          <w:sz w:val="22"/>
          <w:szCs w:val="22"/>
        </w:rPr>
        <w:t xml:space="preserve">☐  </w:t>
      </w:r>
      <w:r>
        <w:rPr>
          <w:rFonts w:ascii="Calibri" w:cs="Calibri" w:eastAsia="Calibri" w:hAnsi="Calibri"/>
          <w:color w:val="1E293B"/>
          <w:sz w:val="22"/>
          <w:szCs w:val="22"/>
        </w:rPr>
        <w:t xml:space="preserve">City Operations Manager reviewing funnel conversion daily, not weekly, during launch week</w:t>
      </w:r>
    </w:p>
    <w:p>
      <w:pPr>
        <w:pStyle w:val="Heading1"/>
        <w:pBdr>
          <w:bottom w:val="single" w:color="EA580C" w:sz="12" w:space="6"/>
        </w:pBdr>
        <w:spacing w:after="180" w:before="420"/>
      </w:pPr>
      <w:r>
        <w:t xml:space="preserve">15. Ongoing Supply Health Monitoring</w:t>
      </w:r>
    </w:p>
    <w:p>
      <w:pPr>
        <w:spacing w:after="150" w:line="276"/>
      </w:pPr>
      <w:r>
        <w:rPr>
          <w:rFonts w:ascii="Calibri" w:cs="Calibri" w:eastAsia="Calibri" w:hAnsi="Calibri"/>
          <w:i w:val="false"/>
          <w:iCs w:val="false"/>
          <w:color w:val="1E293B"/>
          <w:sz w:val="22"/>
          <w:szCs w:val="22"/>
        </w:rPr>
        <w:t xml:space="preserve">Once past launch week, monitor weekly rather than daily, watching for:</w:t>
      </w:r>
    </w:p>
    <w:p>
      <w:pPr>
        <w:pStyle w:val="ListParagraph"/>
        <w:numPr>
          <w:ilvl w:val="0"/>
          <w:numId w:val="2"/>
        </w:numPr>
        <w:spacing w:after="90" w:line="264"/>
      </w:pPr>
      <w:r>
        <w:rPr>
          <w:rFonts w:ascii="Calibri" w:cs="Calibri" w:eastAsia="Calibri" w:hAnsi="Calibri"/>
          <w:color w:val="1E293B"/>
          <w:sz w:val="22"/>
          <w:szCs w:val="22"/>
        </w:rPr>
        <w:t xml:space="preserve">Weekly-active rider count, trended — the single best supply-health indicator.</w:t>
      </w:r>
    </w:p>
    <w:p>
      <w:pPr>
        <w:pStyle w:val="ListParagraph"/>
        <w:numPr>
          <w:ilvl w:val="0"/>
          <w:numId w:val="2"/>
        </w:numPr>
        <w:spacing w:after="90" w:line="264"/>
      </w:pPr>
      <w:r>
        <w:rPr>
          <w:rFonts w:ascii="Calibri" w:cs="Calibri" w:eastAsia="Calibri" w:hAnsi="Calibri"/>
          <w:color w:val="1E293B"/>
          <w:sz w:val="22"/>
          <w:szCs w:val="22"/>
        </w:rPr>
        <w:t xml:space="preserve">Rider churn — riders active in a prior week who go inactive; investigate the reason (earnings, another platform, safety concern, moved stages) rather than only replacing the number.</w:t>
      </w:r>
    </w:p>
    <w:p>
      <w:pPr>
        <w:pStyle w:val="ListParagraph"/>
        <w:numPr>
          <w:ilvl w:val="0"/>
          <w:numId w:val="2"/>
        </w:numPr>
        <w:spacing w:after="90" w:line="264"/>
      </w:pPr>
      <w:r>
        <w:rPr>
          <w:rFonts w:ascii="Calibri" w:cs="Calibri" w:eastAsia="Calibri" w:hAnsi="Calibri"/>
          <w:color w:val="1E293B"/>
          <w:sz w:val="22"/>
          <w:szCs w:val="22"/>
        </w:rPr>
        <w:t xml:space="preserve">Supply gaps by zone and time of day — where matching is consistently slow, that is where the next recruiting push should go.</w:t>
      </w:r>
    </w:p>
    <w:p>
      <w:pPr>
        <w:pStyle w:val="ListParagraph"/>
        <w:numPr>
          <w:ilvl w:val="0"/>
          <w:numId w:val="2"/>
        </w:numPr>
        <w:spacing w:after="90" w:line="264"/>
      </w:pPr>
      <w:r>
        <w:rPr>
          <w:rFonts w:ascii="Calibri" w:cs="Calibri" w:eastAsia="Calibri" w:hAnsi="Calibri"/>
          <w:color w:val="1E293B"/>
          <w:sz w:val="22"/>
          <w:szCs w:val="22"/>
        </w:rPr>
        <w:t xml:space="preserve">Funnel conversion by stage — catches problems in verification, training, or activation before they show up as a supply shortage weeks later.</w:t>
      </w:r>
    </w:p>
    <w:p>
      <w:pPr>
        <w:pStyle w:val="Heading1"/>
        <w:pBdr>
          <w:bottom w:val="single" w:color="EA580C" w:sz="12" w:space="6"/>
        </w:pBdr>
        <w:spacing w:after="180" w:before="420"/>
      </w:pPr>
      <w:r>
        <w:t xml:space="preserve">16. Common Pitfalls &amp; Mitigations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rPr>
          <w:tblHeader/>
        </w:trPr>
        <w:tc>
          <w:tcPr>
            <w:tcW w:type="dxa" w:w="34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Pitfall</w:t>
            </w:r>
          </w:p>
        </w:tc>
        <w:tc>
          <w:tcPr>
            <w:tcW w:type="dxa" w:w="61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Mitigation</w:t>
            </w:r>
          </w:p>
        </w:tc>
      </w:tr>
      <w:tr>
        <w:tc>
          <w:tcPr>
            <w:tcW w:type="dxa" w:w="34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Sign-ups without follow-through (“come back later”)</w:t>
            </w:r>
          </w:p>
        </w:tc>
        <w:tc>
          <w:tcPr>
            <w:tcW w:type="dxa" w:w="61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Collect documents and book the training slot on the spot during the kijiwe visit.</w:t>
            </w:r>
          </w:p>
        </w:tc>
      </w:tr>
      <w:tr>
        <w:tc>
          <w:tcPr>
            <w:tcW w:type="dxa" w:w="34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Recruiting spread thin across too many stages at once</w:t>
            </w:r>
          </w:p>
        </w:tc>
        <w:tc>
          <w:tcPr>
            <w:tcW w:type="dxa" w:w="61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Concentrate on a small number of high-density stages per district before expanding — mirrors the blueprint’s single-city-first logic at the neighbourhood level.</w:t>
            </w:r>
          </w:p>
        </w:tc>
      </w:tr>
      <w:tr>
        <w:tc>
          <w:tcPr>
            <w:tcW w:type="dxa" w:w="34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Incentive spend without an activation filter</w:t>
            </w:r>
          </w:p>
        </w:tc>
        <w:tc>
          <w:tcPr>
            <w:tcW w:type="dxa" w:w="61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Pay sign-on bonuses after activation, not sign-up, so incentive budget goes to riders who actually deliver.</w:t>
            </w:r>
          </w:p>
        </w:tc>
      </w:tr>
      <w:tr>
        <w:tc>
          <w:tcPr>
            <w:tcW w:type="dxa" w:w="34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Support that only exists in the app</w:t>
            </w:r>
          </w:p>
        </w:tc>
        <w:tc>
          <w:tcPr>
            <w:tcW w:type="dxa" w:w="61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Keep a real phone line and a physical presence in the launch district, especially in the first months.</w:t>
            </w:r>
          </w:p>
        </w:tc>
      </w:tr>
      <w:tr>
        <w:tc>
          <w:tcPr>
            <w:tcW w:type="dxa" w:w="34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Treating grievances as tickets to close, not patterns to fix</w:t>
            </w:r>
          </w:p>
        </w:tc>
        <w:tc>
          <w:tcPr>
            <w:tcW w:type="dxa" w:w="61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Have the City Operations Manager review grievance themes weekly, not just individual resolutions.</w:t>
            </w:r>
          </w:p>
        </w:tc>
      </w:tr>
    </w:tbl>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space="6"/>
      </w:pBdr>
      <w:jc w:val="center"/>
    </w:pPr>
    <w:r>
      <w:rPr>
        <w:rFonts w:ascii="Calibri" w:cs="Calibri" w:eastAsia="Calibri" w:hAnsi="Calibri"/>
        <w:color w:val="475569"/>
        <w:sz w:val="16"/>
        <w:szCs w:val="16"/>
      </w:rPr>
      <w:t xml:space="preserve">WAZZAR Rider Recruitment &amp; Operations Playbook  ·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20"/>
      </w:pPr>
    </w:lvl>
  </w:abstractNum>
  <w:abstractNum w:abstractNumId="4"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20"/>
    </w:pPr>
    <w:rPr>
      <w:rFonts w:ascii="Calibri" w:cs="Calibri" w:eastAsia="Calibri" w:hAnsi="Calibri"/>
      <w:b/>
      <w:bCs/>
      <w:color w:val="0F172A"/>
      <w:sz w:val="30"/>
      <w:szCs w:val="30"/>
    </w:rPr>
  </w:style>
  <w:style w:type="paragraph" w:styleId="Heading2">
    <w:name w:val="Heading 2"/>
    <w:basedOn w:val="Normal"/>
    <w:next w:val="Normal"/>
    <w:qFormat/>
    <w:pPr>
      <w:spacing w:after="120" w:before="300"/>
    </w:pPr>
    <w:rPr>
      <w:rFonts w:ascii="Calibri" w:cs="Calibri" w:eastAsia="Calibri" w:hAnsi="Calibri"/>
      <w:b/>
      <w:bCs/>
      <w:color w:val="0E7490"/>
      <w:sz w:val="25"/>
      <w:szCs w:val="25"/>
    </w:rPr>
  </w:style>
  <w:style w:type="paragraph" w:styleId="Heading3">
    <w:name w:val="Heading 3"/>
    <w:basedOn w:val="Normal"/>
    <w:next w:val="Normal"/>
    <w:qFormat/>
    <w:pPr>
      <w:spacing w:after="90" w:before="200"/>
    </w:pPr>
    <w:rPr>
      <w:rFonts w:ascii="Calibri" w:cs="Calibri" w:eastAsia="Calibri" w:hAnsi="Calibri"/>
      <w:b/>
      <w:bCs/>
      <w:color w:val="EA580C"/>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WAZZAR</dc:creator>
  <cp:lastModifiedBy>Un-named</cp:lastModifiedBy>
  <cp:revision>1</cp:revision>
  <dcterms:created xsi:type="dcterms:W3CDTF">2026-08-08T06:00:08.963Z</dcterms:created>
  <dcterms:modified xsi:type="dcterms:W3CDTF">2026-08-08T06:00:08.964Z</dcterms:modified>
</cp:coreProperties>
</file>

<file path=docProps/custom.xml><?xml version="1.0" encoding="utf-8"?>
<Properties xmlns="http://schemas.openxmlformats.org/officeDocument/2006/custom-properties" xmlns:vt="http://schemas.openxmlformats.org/officeDocument/2006/docPropsVTypes"/>
</file>