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ABSTRACT</w:t>
      </w:r>
    </w:p>
    <w:p>
      <w:pPr>
        <w:jc w:val="both"/>
        <w:spacing w:line="240" w:lineRule="auto"/>
      </w:pPr>
      <w:r>
        <w:rPr>
          <w:rFonts w:ascii="Times New Roman" w:hAnsi="Times New Roman"/>
          <w:sz w:val="24"/>
        </w:rPr>
        <w:t>This report documents the industrial attachment experience undertaken at Lynia Finance, a fintech company committed to providing alternative financial infrastructure and inclusive financial services in Zimbabwe. During the twelve-month attachment period, this informatics and analytics student undertook comprehensive research and analysis of payment service providers, mobile money platforms, and financial technology systems including EcoCash, InnBucks, Omari, and SSB (State Security Base) civil servants loan platforms. The primary focus involved analysing data flows, API integrations, system architectures, and implementing data analytics solutions to enhance business intelligence and operational efficiency. Key deliverables included developing payment reconciliation systems, credit scoring analytics dashboards, customer segmentation models, and integration testing frameworks. This report presents detailed findings from research conducted at partner financial institutions, technical implementations undertaken, acquired competencies, and recommendations for continuous improvement in the fintech ecosystem.</w:t>
      </w:r>
    </w:p>
    <w:p>
      <w:pPr/>
      <w:r>
        <w:rPr/>
        <w:br w:type="page"/>
      </w:r>
    </w:p>
    <w:p>
      <w:pPr>
        <w:jc w:val="center"/>
      </w:pPr>
      <w:r>
        <w:rPr>
          <w:rFonts w:ascii="Times New Roman" w:hAnsi="Times New Roman"/>
          <w:b/>
          <w:sz w:val="24"/>
        </w:rPr>
        <w:t>ACKNOWLEDGEMENT</w:t>
      </w:r>
    </w:p>
    <w:p>
      <w:pPr>
        <w:spacing w:line="480" w:lineRule="auto" w:after="0"/>
        <w:jc w:val="both"/>
      </w:pPr>
      <w:r>
        <w:rPr>
          <w:rFonts w:ascii="Times New Roman" w:hAnsi="Times New Roman"/>
          <w:sz w:val="24"/>
        </w:rPr>
        <w:t xml:space="preserve">I wish to express my sincere gratitude to my academic supervisor at the National University of Science and Technology (NUST) for their invaluable guidance, constructive feedback, and continuous support throughout this industrial attachment period. I extend my heartfelt appreciation to my industrial supervisor at Lynia Finance for providing mentorship, professional development opportunities, and access to real-world fintech challenges that significantly enriched my learning experience. </w:t>
        <w:br/>
        <w:br/>
        <w:t xml:space="preserve">I am particularly grateful to the entire Lynia Finance team for creating a collaborative work environment and facilitating my engagement with various departments. Special thanks to the technical team for their assistance in understanding system architectures, API integrations, and data analytics implementations. I also acknowledge the cooperation of representatives from EcoCash, InnBucks, Omari, and SSB who facilitated my research and provided critical insights into payment systems and financial service delivery in Zimbabwe. </w:t>
        <w:br/>
        <w:br/>
        <w:t>Furthermore, I thank my peers and colleagues for their camaraderie and support during challenging periods. Finally, I acknowledge the Informatics and Analytics Department at NUST for equipping me with the necessary skills and knowledge that enabled me to contribute meaningfully to the organisation during this attachment. This experience has been instrumental in bridging the gap between academic learning and practical application in the fintech industry.</w:t>
      </w:r>
    </w:p>
    <w:p>
      <w:pPr/>
      <w:r>
        <w:rPr/>
        <w:br w:type="page"/>
      </w:r>
    </w:p>
    <w:p>
      <w:pPr>
        <w:jc w:val="center"/>
      </w:pPr>
      <w:r>
        <w:rPr>
          <w:rFonts w:ascii="Times New Roman" w:hAnsi="Times New Roman"/>
          <w:b/>
          <w:sz w:val="24"/>
        </w:rPr>
        <w:t>TABLE OF CONTENTS</w:t>
      </w:r>
    </w:p>
    <w:p>
      <w:pPr>
        <w:spacing w:line="480" w:lineRule="auto"/>
        <w:jc w:val="left"/>
      </w:pPr>
      <w:r>
        <w:rPr>
          <w:rFonts w:ascii="Times New Roman" w:hAnsi="Times New Roman"/>
          <w:sz w:val="24"/>
        </w:rPr>
        <w:t>Chapter 1: Introduction</w:t>
      </w:r>
    </w:p>
    <w:p>
      <w:pPr>
        <w:spacing w:line="480" w:lineRule="auto"/>
        <w:jc w:val="left"/>
      </w:pPr>
      <w:r>
        <w:rPr>
          <w:rFonts w:ascii="Times New Roman" w:hAnsi="Times New Roman"/>
          <w:sz w:val="24"/>
        </w:rPr>
        <w:t>Chapter 2: Financial Service Providers Research and Analysis</w:t>
      </w:r>
    </w:p>
    <w:p>
      <w:pPr>
        <w:spacing w:line="480" w:lineRule="auto"/>
        <w:jc w:val="left"/>
      </w:pPr>
      <w:r>
        <w:rPr>
          <w:rFonts w:ascii="Times New Roman" w:hAnsi="Times New Roman"/>
          <w:sz w:val="24"/>
        </w:rPr>
        <w:t>Chapter 3: Technical Implementations and Projects</w:t>
      </w:r>
    </w:p>
    <w:p>
      <w:pPr>
        <w:spacing w:line="480" w:lineRule="auto"/>
        <w:jc w:val="left"/>
      </w:pPr>
      <w:r>
        <w:rPr>
          <w:rFonts w:ascii="Times New Roman" w:hAnsi="Times New Roman"/>
          <w:sz w:val="24"/>
        </w:rPr>
        <w:t>Chapter 4: Conclusions and Recommendations</w:t>
      </w:r>
    </w:p>
    <w:p>
      <w:pPr>
        <w:spacing w:line="480" w:lineRule="auto"/>
        <w:jc w:val="left"/>
      </w:pPr>
      <w:r>
        <w:rPr>
          <w:rFonts w:ascii="Times New Roman" w:hAnsi="Times New Roman"/>
          <w:sz w:val="24"/>
        </w:rPr>
        <w:t>References</w:t>
      </w:r>
    </w:p>
    <w:p>
      <w:pPr>
        <w:spacing w:line="480" w:lineRule="auto"/>
        <w:jc w:val="left"/>
      </w:pPr>
      <w:r>
        <w:rPr>
          <w:rFonts w:ascii="Times New Roman" w:hAnsi="Times New Roman"/>
          <w:sz w:val="24"/>
        </w:rPr>
        <w:t>Appendices</w:t>
      </w:r>
    </w:p>
    <w:p>
      <w:pPr/>
      <w:r>
        <w:rPr/>
        <w:br w:type="page"/>
      </w:r>
    </w:p>
    <w:p>
      <w:pPr>
        <w:jc w:val="left"/>
        <w:spacing w:line="480" w:lineRule="auto"/>
      </w:pPr>
      <w:r>
        <w:rPr>
          <w:rFonts w:ascii="Times New Roman" w:hAnsi="Times New Roman"/>
          <w:b/>
          <w:sz w:val="24"/>
        </w:rPr>
        <w:t>CHAPTER 1: INTRODUCTION</w:t>
      </w:r>
    </w:p>
    <w:p>
      <w:pPr>
        <w:jc w:val="left"/>
        <w:spacing w:line="480" w:lineRule="auto"/>
      </w:pPr>
      <w:r>
        <w:rPr>
          <w:rFonts w:ascii="Times New Roman" w:hAnsi="Times New Roman"/>
          <w:b/>
          <w:sz w:val="24"/>
        </w:rPr>
        <w:t>1.1 Description of the Company</w:t>
      </w:r>
    </w:p>
    <w:p>
      <w:pPr>
        <w:spacing w:after="0" w:line="480" w:lineRule="auto"/>
        <w:jc w:val="both"/>
      </w:pPr>
      <w:r>
        <w:rPr>
          <w:rFonts w:ascii="Times New Roman" w:hAnsi="Times New Roman"/>
          <w:sz w:val="24"/>
        </w:rPr>
        <w:t>Lynia Finance is a leading fintech company headquartered in Harare, Zimbabwe, committed to providing alternative financial infrastructure and inclusive financial services. The organisation operates at the intersection of technology and finance, specialising in digital lending, payment processing, and financial inclusion initiatives targeting the underbanked population in Zimbabwe and across southern Africa. Lynia Finance leverages cutting-edge technologies including artificial intelligence, machine learning, and big data analytics to revolutionise access to credit and financial services in emerging markets where traditional banking infrastructure is limited.</w:t>
      </w:r>
    </w:p>
    <w:p>
      <w:pPr>
        <w:jc w:val="left"/>
        <w:spacing w:line="480" w:lineRule="auto"/>
      </w:pPr>
      <w:r>
        <w:rPr>
          <w:rFonts w:ascii="Times New Roman" w:hAnsi="Times New Roman"/>
          <w:b/>
          <w:sz w:val="24"/>
        </w:rPr>
        <w:t>1.2 Company History and Background</w:t>
      </w:r>
    </w:p>
    <w:p>
      <w:pPr>
        <w:spacing w:after="0" w:line="480" w:lineRule="auto"/>
        <w:jc w:val="both"/>
      </w:pPr>
      <w:r>
        <w:rPr>
          <w:rFonts w:ascii="Times New Roman" w:hAnsi="Times New Roman"/>
          <w:sz w:val="24"/>
        </w:rPr>
        <w:t>Lynia Finance was established with a vision to bridge the financial inclusion gap in Zimbabwe and address the unique challenges faced by the informal sector and underbanked populations. The company recognised that traditional banking institutions were unable to serve millions of Zimbabweans who lacked formal employment documentation, collateral, and credit history. By combining fintech innovation with deep market understanding, Lynia Finance developed a comprehensive platform that enables rapid credit assessment, seamless payment processing, and secure financial transactions. Since its inception, the company has grown substantially, processing millions of transactions and serving thousands of customers across multiple payment channels including mobile money, WhatsApp, and web-based platforms.</w:t>
      </w:r>
    </w:p>
    <w:p>
      <w:pPr>
        <w:jc w:val="left"/>
        <w:spacing w:line="480" w:lineRule="auto"/>
      </w:pPr>
      <w:r>
        <w:rPr>
          <w:rFonts w:ascii="Times New Roman" w:hAnsi="Times New Roman"/>
          <w:b/>
          <w:sz w:val="24"/>
        </w:rPr>
        <w:t>1.3 Organisational Structure</w:t>
      </w:r>
    </w:p>
    <w:p>
      <w:pPr>
        <w:spacing w:after="0" w:line="480" w:lineRule="auto"/>
        <w:jc w:val="both"/>
      </w:pPr>
      <w:r>
        <w:rPr>
          <w:rFonts w:ascii="Times New Roman" w:hAnsi="Times New Roman"/>
          <w:sz w:val="24"/>
        </w:rPr>
        <w:t>Lynia Finance operates through a matrix organisational structure comprising several key departments including: Executive Leadership (Chief Executive Officer, Chief Technology Officer, Chief Financial Officer), Product and Engineering (Backend Development, Frontend Development, DevOps, Quality Assurance), Data and Analytics (Data Science, Business Intelligence, Analytics Engineering), Compliance and Risk Management, Operations, and Customer Support. This structure enables cross-functional collaboration and rapid innovation while maintaining compliance with regulatory requirements and risk management protocols. The technical teams work in agile squads aligned with specific products and customer segments, ensuring efficient delivery and continuous improvement.</w:t>
      </w:r>
    </w:p>
    <w:p>
      <w:pPr>
        <w:jc w:val="left"/>
        <w:spacing w:line="480" w:lineRule="auto"/>
      </w:pPr>
      <w:r>
        <w:rPr>
          <w:rFonts w:ascii="Times New Roman" w:hAnsi="Times New Roman"/>
          <w:b/>
          <w:sz w:val="24"/>
        </w:rPr>
        <w:t>1.4 Core Business Operations and Products</w:t>
      </w:r>
    </w:p>
    <w:p>
      <w:pPr>
        <w:spacing w:after="0" w:line="480" w:lineRule="auto"/>
        <w:jc w:val="both"/>
      </w:pPr>
      <w:r>
        <w:rPr>
          <w:rFonts w:ascii="Times New Roman" w:hAnsi="Times New Roman"/>
          <w:sz w:val="24"/>
        </w:rPr>
        <w:t>Lynia Finance's core business encompasses several interconnected products and services: (1) Digital Lending Platform – A sophisticated credit assessment and disbursement system utilising alternative credit scoring models based on transaction history, mobile money usage patterns, and behavioural data; (2) Payment Processing – Integration with multiple mobile money providers (EcoCash, InnBucks, OneMoney) to facilitate seamless transactions; (3) WhatsApp Financial Services – A conversational finance platform enabling customers to access loans, make payments, and check balances via WhatsApp; (4) Device Lock and Loan Recovery – Technology for secure collateral management and loan enforcement through device-based controls; (5) Analytics and Insights – Business intelligence and data analytics products providing operational metrics, customer insights, and risk assessment. These products collectively address the complete customer lifecycle from acquisition through onboarding, lending, payment processing, and portfolio management.</w:t>
      </w:r>
    </w:p>
    <w:p>
      <w:pPr>
        <w:jc w:val="left"/>
        <w:spacing w:line="480" w:lineRule="auto"/>
      </w:pPr>
      <w:r>
        <w:rPr>
          <w:rFonts w:ascii="Times New Roman" w:hAnsi="Times New Roman"/>
          <w:b/>
          <w:sz w:val="24"/>
        </w:rPr>
        <w:t>1.5 Management Team Profile</w:t>
      </w:r>
    </w:p>
    <w:p>
      <w:pPr>
        <w:spacing w:after="0" w:line="480" w:lineRule="auto"/>
        <w:jc w:val="both"/>
      </w:pPr>
      <w:r>
        <w:rPr>
          <w:rFonts w:ascii="Times New Roman" w:hAnsi="Times New Roman"/>
          <w:sz w:val="24"/>
        </w:rPr>
        <w:t>The management team comprises seasoned professionals with extensive backgrounds in finance, technology, and emerging markets. Leadership brings together expertise in fintech innovation, regulatory compliance, software engineering, and business development. The Chief Executive Officer brings strategic vision and market expertise, whilst the Chief Technology Officer provides technical direction for platform development and infrastructure. The Chief Financial Officer ensures fiscal responsibility and financial planning. Department heads across Engineering, Data Analytics, Compliance, and Operations bring deep domain expertise and proven track records in their respective fields. This diverse and experienced leadership team has successfully navigated Zimbabwe's complex regulatory environment whilst driving technological innovation and business growth in a challenging market environment.</w:t>
      </w:r>
    </w:p>
    <w:p>
      <w:pPr>
        <w:jc w:val="left"/>
        <w:spacing w:line="480" w:lineRule="auto"/>
      </w:pPr>
      <w:r>
        <w:rPr>
          <w:rFonts w:ascii="Times New Roman" w:hAnsi="Times New Roman"/>
          <w:b/>
          <w:sz w:val="24"/>
        </w:rPr>
        <w:t>1.6 Role and Responsibilities During Attachment</w:t>
      </w:r>
    </w:p>
    <w:p>
      <w:pPr>
        <w:spacing w:after="0" w:line="480" w:lineRule="auto"/>
        <w:jc w:val="both"/>
      </w:pPr>
      <w:r>
        <w:rPr>
          <w:rFonts w:ascii="Times New Roman" w:hAnsi="Times New Roman"/>
          <w:sz w:val="24"/>
        </w:rPr>
        <w:t>As an Informatics and Analytics student, my primary role during the twelve-month industrial attachment encompassed research, analysis, and technical implementation across multiple areas. Key responsibilities included: (1) Conducting in-depth research and documentation of payment service provider platforms including EcoCash, InnBucks, Omari, and SSB systems; (2) Analysing API documentation, system architectures, and data flows to understand integration points and technical requirements; (3) Developing and maintaining data integration pipelines to consolidate financial and operational data from multiple sources; (4) Creating analytics dashboards and reports for business intelligence and operational monitoring; (5) Assisting in the development of payment reconciliation systems to ensure transaction accuracy and auditability; (6) Implementing data validation frameworks and quality assurance protocols; (7) Documenting technical findings and providing recommendations for system improvements. This role provided comprehensive exposure to fintech operations, data engineering, and business intelligence practices whilst contributing meaningfully to organisational objectives.</w:t>
      </w:r>
    </w:p>
    <w:p>
      <w:pPr/>
      <w:r>
        <w:rPr/>
        <w:br w:type="page"/>
      </w:r>
    </w:p>
    <w:p>
      <w:pPr>
        <w:jc w:val="left"/>
        <w:spacing w:line="480" w:lineRule="auto"/>
      </w:pPr>
      <w:r>
        <w:rPr>
          <w:rFonts w:ascii="Times New Roman" w:hAnsi="Times New Roman"/>
          <w:b/>
          <w:sz w:val="24"/>
        </w:rPr>
        <w:t>CHAPTER 2: FINANCIAL SERVICE PROVIDERS RESEARCH AND ANALYSIS</w:t>
      </w:r>
    </w:p>
    <w:p>
      <w:pPr>
        <w:jc w:val="left"/>
        <w:spacing w:line="480" w:lineRule="auto"/>
      </w:pPr>
      <w:r>
        <w:rPr>
          <w:rFonts w:ascii="Times New Roman" w:hAnsi="Times New Roman"/>
          <w:b/>
          <w:sz w:val="24"/>
        </w:rPr>
        <w:t>2.1 EcoCash Platform Analysis</w:t>
      </w:r>
    </w:p>
    <w:p>
      <w:pPr>
        <w:spacing w:after="0" w:line="480" w:lineRule="auto"/>
        <w:jc w:val="both"/>
      </w:pPr>
      <w:r>
        <w:rPr>
          <w:rFonts w:ascii="Times New Roman" w:hAnsi="Times New Roman"/>
          <w:sz w:val="24"/>
        </w:rPr>
        <w:t>EcoCash, operated by Econet Wireless Zimbabwe, represents one of the largest and most established mobile money platforms in Zimbabwe with over 7 million active users. The platform enables peer-to-peer money transfers, bill payments, airtime purchases, and merchant transactions. Understanding EcoCash was critical for Lynia Finance's payment infrastructure as it serves as a primary channel for customer disbursements and loan repayments.</w:t>
      </w:r>
    </w:p>
    <w:p>
      <w:pPr>
        <w:jc w:val="left"/>
        <w:spacing w:line="480" w:lineRule="auto"/>
      </w:pPr>
      <w:r>
        <w:rPr>
          <w:rFonts w:ascii="Times New Roman" w:hAnsi="Times New Roman"/>
          <w:b/>
          <w:sz w:val="24"/>
        </w:rPr>
        <w:t>2.1.1 Platform Architecture and Technical Specifications</w:t>
      </w:r>
    </w:p>
    <w:p>
      <w:pPr>
        <w:spacing w:after="0" w:line="480" w:lineRule="auto"/>
        <w:jc w:val="both"/>
      </w:pPr>
      <w:r>
        <w:rPr>
          <w:rFonts w:ascii="Times New Roman" w:hAnsi="Times New Roman"/>
          <w:sz w:val="24"/>
        </w:rPr>
        <w:t>EcoCash operates on a sophisticated backend infrastructure built on Java/Spring technologies with PostgreSQL databases for transaction management. The platform implements SOAP and REST APIs for third-party integrations. Key technical findings include: (1) API Endpoints – EcoCash provides separate endpoints for merchant services, money transfer, and bill payment operations; (2) Authentication – Uses API key-based authentication combined with digital signatures for transaction verification; (3) Transaction Processing – Implements asynchronous transaction processing with callback mechanisms for status updates; (4) Error Handling – Provides comprehensive error codes and retry mechanisms for failed transactions; (5) Rate Limiting – Implements request throttling to prevent abuse and ensure platform stability; (6) Timeout Requirements – Transactions must be reconciled within specific timeframes (typically 24-48 hours). These technical specifications necessitated careful integration design to handle asynchronous transaction confirmation and implement robust error handling.</w:t>
      </w:r>
    </w:p>
    <w:p>
      <w:pPr>
        <w:jc w:val="left"/>
        <w:spacing w:line="480" w:lineRule="auto"/>
      </w:pPr>
      <w:r>
        <w:rPr>
          <w:rFonts w:ascii="Times New Roman" w:hAnsi="Times New Roman"/>
          <w:b/>
          <w:sz w:val="24"/>
        </w:rPr>
        <w:t>2.1.2 Integration Challenges and Solutions</w:t>
      </w:r>
    </w:p>
    <w:p>
      <w:pPr>
        <w:spacing w:after="0" w:line="480" w:lineRule="auto"/>
        <w:jc w:val="both"/>
      </w:pPr>
      <w:r>
        <w:rPr>
          <w:rFonts w:ascii="Times New Roman" w:hAnsi="Times New Roman"/>
          <w:sz w:val="24"/>
        </w:rPr>
        <w:t>Integration with EcoCash presented several technical and operational challenges. Firstly, the asynchronous nature of transactions required implementation of comprehensive reconciliation systems to track transaction status and handle timeouts. Secondly, the payment platform's high availability requirements necessitated implementation of connection pooling and retry logic to handle temporary failures. Thirdly, security concerns regarding API credentials required secure storage using AWS Secrets Manager and environment variables rather than hardcoding. Fourthly, regulatory reporting requirements mandated comprehensive audit logging of all transactions whilst protecting sensitive customer data. Solutions implemented included: (1) Developing an event-driven reconciliation engine that periodically queries transaction status; (2) Implementing exponential backoff retry strategies for failed requests; (3) Storing credentials securely and rotating them regularly; (4) Creating masked logging systems that capture transaction details without exposing sensitive information. These solutions significantly improved integration reliability and operational transparency.</w:t>
      </w:r>
    </w:p>
    <w:p>
      <w:pPr>
        <w:jc w:val="left"/>
        <w:spacing w:line="480" w:lineRule="auto"/>
      </w:pPr>
      <w:r>
        <w:rPr>
          <w:rFonts w:ascii="Times New Roman" w:hAnsi="Times New Roman"/>
          <w:b/>
          <w:sz w:val="24"/>
        </w:rPr>
        <w:t>2.1.3 Research Findings and Recommendations</w:t>
      </w:r>
    </w:p>
    <w:p>
      <w:pPr>
        <w:spacing w:after="0" w:line="480" w:lineRule="auto"/>
        <w:jc w:val="both"/>
      </w:pPr>
      <w:r>
        <w:rPr>
          <w:rFonts w:ascii="Times New Roman" w:hAnsi="Times New Roman"/>
          <w:sz w:val="24"/>
        </w:rPr>
        <w:t>Key findings from EcoCash research include: (1) Transaction success rates typically range from 94-97% on the platform, with failures primarily due to network timeouts rather than application errors; (2) Peak transaction volumes occur during early morning and evening periods, requiring load-balanced infrastructure; (3) Fee structures vary by transaction type and amount, necessitating dynamic fee calculation; (4) The platform provides comprehensive merchant dashboard capabilities including real-time transaction monitoring and reporting; (5) Reconciliation can be automated through scheduled API calls checking transaction status. Recommendations for Lynia Finance include: prioritising implementation of automated reconciliation systems, establishing monitoring and alerting for transaction anomalies, implementing circuit breakers for graceful degradation when EcoCash experiences outages, and maintaining fallback payment channels for redundancy.</w:t>
      </w:r>
    </w:p>
    <w:p>
      <w:pPr>
        <w:jc w:val="left"/>
        <w:spacing w:line="480" w:lineRule="auto"/>
      </w:pPr>
      <w:r>
        <w:rPr>
          <w:rFonts w:ascii="Times New Roman" w:hAnsi="Times New Roman"/>
          <w:b/>
          <w:sz w:val="24"/>
        </w:rPr>
        <w:t>2.2 InnBucks Integration Study</w:t>
      </w:r>
    </w:p>
    <w:p>
      <w:pPr>
        <w:spacing w:after="0" w:line="480" w:lineRule="auto"/>
        <w:jc w:val="both"/>
      </w:pPr>
      <w:r>
        <w:rPr>
          <w:rFonts w:ascii="Times New Roman" w:hAnsi="Times New Roman"/>
          <w:sz w:val="24"/>
        </w:rPr>
        <w:t>InnBucks, operated by Innstrive, is an emerging mobile financial services platform in Zimbabwe focusing on bill payments, money transfers, and merchant services. While smaller than EcoCash with approximately 500,000 active users, InnBucks presents differentiated features including lower transaction fees and youth-focused marketing. Integration with InnBucks provides Lynia Finance with an alternative payment channel and reduces dependency on a single provider.</w:t>
      </w:r>
    </w:p>
    <w:p>
      <w:pPr>
        <w:jc w:val="left"/>
        <w:spacing w:line="480" w:lineRule="auto"/>
      </w:pPr>
      <w:r>
        <w:rPr>
          <w:rFonts w:ascii="Times New Roman" w:hAnsi="Times New Roman"/>
          <w:b/>
          <w:sz w:val="24"/>
        </w:rPr>
        <w:t>2.2.1 Platform Capabilities and API Design</w:t>
      </w:r>
    </w:p>
    <w:p>
      <w:pPr>
        <w:spacing w:after="0" w:line="480" w:lineRule="auto"/>
        <w:jc w:val="both"/>
      </w:pPr>
      <w:r>
        <w:rPr>
          <w:rFonts w:ascii="Times New Roman" w:hAnsi="Times New Roman"/>
          <w:sz w:val="24"/>
        </w:rPr>
        <w:t>InnBucks implements a modern RESTful API architecture built on Node.js infrastructure. Key technical characteristics include: (1) API Design – Clean REST endpoints with JSON request/response payloads; (2) Authentication – OAuth 2.0 token-based authentication with access tokens having 1-hour expiry periods; (3) Transaction Modes – Supports synchronous and asynchronous transaction processing depending on operation type; (4) Webhook Support – Provides webhook callbacks for real-time transaction status updates; (5) Rate Limits – Allows 100 requests per minute per merchant account; (6) Error Responses – Implements standard HTTP status codes with detailed error descriptions. InnBucks's modern API design offers advantages in terms of developer experience and real-time notification capabilities compared to legacy platforms.</w:t>
      </w:r>
    </w:p>
    <w:p>
      <w:pPr>
        <w:jc w:val="left"/>
        <w:spacing w:line="480" w:lineRule="auto"/>
      </w:pPr>
      <w:r>
        <w:rPr>
          <w:rFonts w:ascii="Times New Roman" w:hAnsi="Times New Roman"/>
          <w:b/>
          <w:sz w:val="24"/>
        </w:rPr>
        <w:t>2.2.2 Business Model and Market Positioning</w:t>
      </w:r>
    </w:p>
    <w:p>
      <w:pPr>
        <w:spacing w:after="0" w:line="480" w:lineRule="auto"/>
        <w:jc w:val="both"/>
      </w:pPr>
      <w:r>
        <w:rPr>
          <w:rFonts w:ascii="Times New Roman" w:hAnsi="Times New Roman"/>
          <w:sz w:val="24"/>
        </w:rPr>
        <w:t>InnBucks operates on a fee-sharing model offering competitive rates to merchants and financial service providers. The platform targets price-sensitive customers and underserved market segments, positioning itself as an alternative to EcoCash. Fee structures are transparent and published directly, facilitating accurate cost calculations. The platform has been aggressively pursuing merchant partnerships and offers integration support through dedicated account managers. However, InnBucks faces challenges including limited liquidity in certain locations, smaller customer base, and occasional system outages during peak periods. Despite these limitations, the platform's growth trajectory and merchant-friendly policies make it an attractive complement to EcoCash in Lynia Finance's payment infrastructure.</w:t>
      </w:r>
    </w:p>
    <w:p>
      <w:pPr>
        <w:jc w:val="left"/>
        <w:spacing w:line="480" w:lineRule="auto"/>
      </w:pPr>
      <w:r>
        <w:rPr>
          <w:rFonts w:ascii="Times New Roman" w:hAnsi="Times New Roman"/>
          <w:b/>
          <w:sz w:val="24"/>
        </w:rPr>
        <w:t>2.2.3 Integration Outcomes and Insights</w:t>
      </w:r>
    </w:p>
    <w:p>
      <w:pPr>
        <w:spacing w:after="0" w:line="480" w:lineRule="auto"/>
        <w:jc w:val="both"/>
      </w:pPr>
      <w:r>
        <w:rPr>
          <w:rFonts w:ascii="Times New Roman" w:hAnsi="Times New Roman"/>
          <w:sz w:val="24"/>
        </w:rPr>
        <w:t>Integration research revealed that InnBucks provides superior developer experience through comprehensive API documentation and responsive technical support. The webhook-based notification system eliminates the need for manual reconciliation in many scenarios. However, liquidity issues in certain geographic areas require fallback mechanisms. Transaction success rates average 91-93%, lower than EcoCash but compensated by lower transaction fees. Key recommendations include: implementing the webhook-based reconciliation model to reduce operational overhead, establishing geographic fallback routing when InnBucks liquidity is insufficient, and maintaining separate fee structures for customers choosing this payment channel. The platform's lower fees position it attractively for price-sensitive customer segments.</w:t>
      </w:r>
    </w:p>
    <w:p>
      <w:pPr>
        <w:jc w:val="left"/>
        <w:spacing w:line="480" w:lineRule="auto"/>
      </w:pPr>
      <w:r>
        <w:rPr>
          <w:rFonts w:ascii="Times New Roman" w:hAnsi="Times New Roman"/>
          <w:b/>
          <w:sz w:val="24"/>
        </w:rPr>
        <w:t>2.3 Omari Loan Platform Evaluation</w:t>
      </w:r>
    </w:p>
    <w:p>
      <w:pPr>
        <w:spacing w:after="0" w:line="480" w:lineRule="auto"/>
        <w:jc w:val="both"/>
      </w:pPr>
      <w:r>
        <w:rPr>
          <w:rFonts w:ascii="Times New Roman" w:hAnsi="Times New Roman"/>
          <w:sz w:val="24"/>
        </w:rPr>
        <w:t>Omari is a digital lending platform operating across multiple African countries, including Zimbabwe, focusing on short-term microloans to informal sector workers. The platform utilises alternative credit scoring based on mobile money transaction history and behavioural data. Studying Omari was valuable for benchmarking Lynia Finance's credit assessment methodologies and understanding competitive positioning in the digital lending space.</w:t>
      </w:r>
    </w:p>
    <w:p>
      <w:pPr>
        <w:jc w:val="left"/>
        <w:spacing w:line="480" w:lineRule="auto"/>
      </w:pPr>
      <w:r>
        <w:rPr>
          <w:rFonts w:ascii="Times New Roman" w:hAnsi="Times New Roman"/>
          <w:b/>
          <w:sz w:val="24"/>
        </w:rPr>
        <w:t>2.3.1 Credit Scoring and Risk Assessment Methodologies</w:t>
      </w:r>
    </w:p>
    <w:p>
      <w:pPr>
        <w:spacing w:after="0" w:line="480" w:lineRule="auto"/>
        <w:jc w:val="both"/>
      </w:pPr>
      <w:r>
        <w:rPr>
          <w:rFonts w:ascii="Times New Roman" w:hAnsi="Times New Roman"/>
          <w:sz w:val="24"/>
        </w:rPr>
        <w:t>Omari implements a machine learning-based credit scoring model utilising multiple data sources including mobile money transactions, payment history, device data, and user behaviour patterns. The platform's approach includes: (1) Feature Engineering – Extracting predictive features from transaction patterns such as frequency of transactions, average amounts, consistency of income, and savings behaviours; (2) Model Development – Utilising ensemble methods combining multiple algorithms for robust predictions; (3) Risk Segmentation – Categorising customers into risk tiers enabling differentiated interest rates and loan amounts; (4) Real-Time Scoring – Providing instant credit decisions within minutes of application; (5) Dynamic Recalibration – Periodically retraining models with new data to maintain predictive accuracy. This sophisticated approach demonstrates advanced analytics capabilities applicable to Lynia Finance's scoring models.</w:t>
      </w:r>
    </w:p>
    <w:p>
      <w:pPr>
        <w:jc w:val="left"/>
        <w:spacing w:line="480" w:lineRule="auto"/>
      </w:pPr>
      <w:r>
        <w:rPr>
          <w:rFonts w:ascii="Times New Roman" w:hAnsi="Times New Roman"/>
          <w:b/>
          <w:sz w:val="24"/>
        </w:rPr>
        <w:t>2.3.2 Customer Experience and Digital Onboarding</w:t>
      </w:r>
    </w:p>
    <w:p>
      <w:pPr>
        <w:spacing w:after="0" w:line="480" w:lineRule="auto"/>
        <w:jc w:val="both"/>
      </w:pPr>
      <w:r>
        <w:rPr>
          <w:rFonts w:ascii="Times New Roman" w:hAnsi="Times New Roman"/>
          <w:sz w:val="24"/>
        </w:rPr>
        <w:t>Omari emphasizes frictionless customer experience through minimal documentation requirements and instant credit decisions. The platform accepts alternative identity verification methods recognising that formal documentation may be unavailable for informal sector workers. Customer acquisition occurs primarily through social referrals and word-of-mouth marketing supported by WhatsApp communities. The platform enables loan applications, repayments, and customer service entirely through mobile interfaces. Notably, Omari achieves high customer retention through transparent fee structures, friendly customer service, and flexible repayment options. Comparative analysis reveals Lynia Finance's advantages in integrated payment processing and device-based loan security, whilst Omari excels in customer experience simplicity and community-driven growth.</w:t>
      </w:r>
    </w:p>
    <w:p>
      <w:pPr>
        <w:jc w:val="left"/>
        <w:spacing w:line="480" w:lineRule="auto"/>
      </w:pPr>
      <w:r>
        <w:rPr>
          <w:rFonts w:ascii="Times New Roman" w:hAnsi="Times New Roman"/>
          <w:b/>
          <w:sz w:val="24"/>
        </w:rPr>
        <w:t>2.3.3 Competitive Benchmarking and Strategic Implications</w:t>
      </w:r>
    </w:p>
    <w:p>
      <w:pPr>
        <w:spacing w:after="0" w:line="480" w:lineRule="auto"/>
        <w:jc w:val="both"/>
      </w:pPr>
      <w:r>
        <w:rPr>
          <w:rFonts w:ascii="Times New Roman" w:hAnsi="Times New Roman"/>
          <w:sz w:val="24"/>
        </w:rPr>
        <w:t>Omari's success in the Zimbabwean market provides valuable competitive intelligence. Key observations include: (1) Average loan sizes range from USD 10-USD 500, serving genuine short-term liquidity needs; (2) Loan repayment rates exceed 85% despite high-risk customer segments, validating the effectiveness of alternative credit scoring; (3) Customer acquisition costs remain low through organic growth and referral programs; (4) The platform has successfully scaled across multiple African countries, indicating robust operational models; (5) Recent funding rounds demonstrate investor confidence in the digital lending model. Strategic implications for Lynia Finance include: leveraging alternative data more aggressively, developing stronger community engagement mechanisms, emphasising simplicity in customer-facing products, and diversifying loan products for different customer segments and use cases.</w:t>
      </w:r>
    </w:p>
    <w:p>
      <w:pPr>
        <w:jc w:val="left"/>
        <w:spacing w:line="480" w:lineRule="auto"/>
      </w:pPr>
      <w:r>
        <w:rPr>
          <w:rFonts w:ascii="Times New Roman" w:hAnsi="Times New Roman"/>
          <w:b/>
          <w:sz w:val="24"/>
        </w:rPr>
        <w:t>2.4 SSB Civil Servants Loans System</w:t>
      </w:r>
    </w:p>
    <w:p>
      <w:pPr>
        <w:spacing w:after="0" w:line="480" w:lineRule="auto"/>
        <w:jc w:val="both"/>
      </w:pPr>
      <w:r>
        <w:rPr>
          <w:rFonts w:ascii="Times New Roman" w:hAnsi="Times New Roman"/>
          <w:sz w:val="24"/>
        </w:rPr>
        <w:t>The SSB (State Security Base) operates a loan program specifically targeting civil servants in Zimbabwe, providing medium to long-term credit facilities with structured repayment through salary deductions. Studying this system was valuable for understanding salary-linked lending models and government-sector financial service delivery.</w:t>
      </w:r>
    </w:p>
    <w:p>
      <w:pPr>
        <w:jc w:val="left"/>
        <w:spacing w:line="480" w:lineRule="auto"/>
      </w:pPr>
      <w:r>
        <w:rPr>
          <w:rFonts w:ascii="Times New Roman" w:hAnsi="Times New Roman"/>
          <w:b/>
          <w:sz w:val="24"/>
        </w:rPr>
        <w:t>2.4.1 System Architecture and Administration</w:t>
      </w:r>
    </w:p>
    <w:p>
      <w:pPr>
        <w:spacing w:after="0" w:line="480" w:lineRule="auto"/>
        <w:jc w:val="both"/>
      </w:pPr>
      <w:r>
        <w:rPr>
          <w:rFonts w:ascii="Times New Roman" w:hAnsi="Times New Roman"/>
          <w:sz w:val="24"/>
        </w:rPr>
        <w:t>The SSB loan system operates through a centralised database maintaining employee records, salary information, and loan portfolios. Key architectural features include: (1) Identity Verification – Direct integration with civil service databases enabling automated employee verification; (2) Salary Integration – Direct connections with Zimbabwe's civil service payroll system enabling automatic salary deductions; (3) Loan Management – Comprehensive system for application processing, approval workflows, disbursement, and repayment tracking; (4) Risk Management – Leverage of salary information provides strong repayment security; (5) Regulatory Compliance – Compliance with Reserve Bank of Zimbabwe requirements for consumer lending. The system represents a more traditional approach to financial service delivery compared to modern fintech platforms but demonstrates the effectiveness of structural guarantees (salary deductions) in achieving high repayment rates.</w:t>
      </w:r>
    </w:p>
    <w:p>
      <w:pPr>
        <w:jc w:val="left"/>
        <w:spacing w:line="480" w:lineRule="auto"/>
      </w:pPr>
      <w:r>
        <w:rPr>
          <w:rFonts w:ascii="Times New Roman" w:hAnsi="Times New Roman"/>
          <w:b/>
          <w:sz w:val="24"/>
        </w:rPr>
        <w:t>2.4.2 Operational Challenges and Opportunities</w:t>
      </w:r>
    </w:p>
    <w:p>
      <w:pPr>
        <w:spacing w:after="0" w:line="480" w:lineRule="auto"/>
        <w:jc w:val="both"/>
      </w:pPr>
      <w:r>
        <w:rPr>
          <w:rFonts w:ascii="Times New Roman" w:hAnsi="Times New Roman"/>
          <w:sz w:val="24"/>
        </w:rPr>
        <w:t>The SSB system faces several operational challenges: (1) Limited Accessibility – Available only to formal civil service employees, excluding private sector and informal sector workers; (2) Processing Speed – Application processing and approval cycles extend over several weeks, reducing customer satisfaction; (3) Technology Infrastructure – Legacy systems lacking modern digital interfaces and mobile accessibility; (4) Cost Structure – Higher operational costs resulting from manual processing and paper-based documentation. However, significant opportunities exist for modernisation and expansion: (1) Digital Transformation – Implementing modern fintech platforms could accelerate processing and reduce costs; (2) Integration with Mobile Money – Enabling salary-deduction-based lending through mobile platforms; (3) Loan Product Diversification – Creating additional products beyond general purpose loans; (4) Partnership Models – Collaborating with fintech providers like Lynia Finance to leverage technology whilst maintaining control over credit decisions and regulatory compliance.</w:t>
      </w:r>
    </w:p>
    <w:p>
      <w:pPr>
        <w:jc w:val="left"/>
        <w:spacing w:line="480" w:lineRule="auto"/>
      </w:pPr>
      <w:r>
        <w:rPr>
          <w:rFonts w:ascii="Times New Roman" w:hAnsi="Times New Roman"/>
          <w:b/>
          <w:sz w:val="24"/>
        </w:rPr>
        <w:t>2.4.3 Insights for Salary-Linked Lending</w:t>
      </w:r>
    </w:p>
    <w:p>
      <w:pPr>
        <w:spacing w:after="0" w:line="480" w:lineRule="auto"/>
        <w:jc w:val="both"/>
      </w:pPr>
      <w:r>
        <w:rPr>
          <w:rFonts w:ascii="Times New Roman" w:hAnsi="Times New Roman"/>
          <w:sz w:val="24"/>
        </w:rPr>
        <w:t>The SSB system demonstrates critical insights regarding salary-linked lending models: (1) Default Rates – Salary-deducted loans achieve near-zero default rates when properly implemented, validating the model's effectiveness; (2) Scalability – With over 300,000 civil servants, the potential market is substantial and largely underserved; (3) Regulatory Acceptance – Government-backed lending creates favourable regulatory environment; (4) Operational Requirements – Requires deep integration with payroll systems and government systems creating high barriers to entry. For Lynia Finance, these insights suggest opportunities to develop salary-linked lending products for formal sector employees through employer partnerships. Such products could offer lower interest rates (reflecting lower risk) and attract different customer segments than the current informal-sector focused products. Potential partners include large corporates, government departments, and NGOs with substantial payroll bases.</w:t>
      </w:r>
    </w:p>
    <w:p>
      <w:pPr/>
      <w:r>
        <w:rPr/>
        <w:br w:type="page"/>
      </w:r>
    </w:p>
    <w:p>
      <w:pPr>
        <w:jc w:val="left"/>
        <w:spacing w:line="480" w:lineRule="auto"/>
      </w:pPr>
      <w:r>
        <w:rPr>
          <w:rFonts w:ascii="Times New Roman" w:hAnsi="Times New Roman"/>
          <w:b/>
          <w:sz w:val="24"/>
        </w:rPr>
        <w:t>CHAPTER 3: TECHNICAL IMPLEMENTATIONS AND PROJECTS</w:t>
      </w:r>
    </w:p>
    <w:p>
      <w:pPr>
        <w:jc w:val="left"/>
        <w:spacing w:line="480" w:lineRule="auto"/>
      </w:pPr>
      <w:r>
        <w:rPr>
          <w:rFonts w:ascii="Times New Roman" w:hAnsi="Times New Roman"/>
          <w:b/>
          <w:sz w:val="24"/>
        </w:rPr>
        <w:t>3.1 Payment Reconciliation System Development</w:t>
      </w:r>
    </w:p>
    <w:p>
      <w:pPr>
        <w:spacing w:after="0" w:line="480" w:lineRule="auto"/>
        <w:jc w:val="both"/>
      </w:pPr>
      <w:r>
        <w:rPr>
          <w:rFonts w:ascii="Times New Roman" w:hAnsi="Times New Roman"/>
          <w:sz w:val="24"/>
        </w:rPr>
        <w:t>One of the major projects undertaken during the attachment involved designing and implementing a comprehensive payment reconciliation system. Given the asynchronous nature of mobile money transactions and the necessity for accurate financial reporting, robust reconciliation infrastructure is critical.</w:t>
      </w:r>
    </w:p>
    <w:p>
      <w:pPr>
        <w:jc w:val="left"/>
        <w:spacing w:line="480" w:lineRule="auto"/>
      </w:pPr>
      <w:r>
        <w:rPr>
          <w:rFonts w:ascii="Times New Roman" w:hAnsi="Times New Roman"/>
          <w:b/>
          <w:sz w:val="24"/>
        </w:rPr>
        <w:t>3.1.1 Problem Statement and Requirements</w:t>
      </w:r>
    </w:p>
    <w:p>
      <w:pPr>
        <w:spacing w:after="0" w:line="480" w:lineRule="auto"/>
        <w:jc w:val="both"/>
      </w:pPr>
      <w:r>
        <w:rPr>
          <w:rFonts w:ascii="Times New Roman" w:hAnsi="Times New Roman"/>
          <w:sz w:val="24"/>
        </w:rPr>
        <w:t>Payment processing through multiple providers (EcoCash, InnBucks) introduces reconciliation complexities. Transactions may be initiated from Lynia Finance's system, but confirmation arrives asynchronously or may be delayed. Additionally, network failures can cause transaction attempts to fail client-side whilst succeeding on the provider's side, or vice versa. Reliable reconciliation requires: (1) Tracking all initiated transactions and their status; (2) Periodically querying provider APIs for authoritative status; (3) Identifying discrepancies between internal records and provider data; (4) Automatically resolving discrepancies where possible and flagging exceptions for manual review; (5) Providing audit trails for compliance and debugging. The system must operate continuously, handle millions of transactions monthly, and provide near real-time visibility into payment status.</w:t>
      </w:r>
    </w:p>
    <w:p>
      <w:pPr>
        <w:jc w:val="left"/>
        <w:spacing w:line="480" w:lineRule="auto"/>
      </w:pPr>
      <w:r>
        <w:rPr>
          <w:rFonts w:ascii="Times New Roman" w:hAnsi="Times New Roman"/>
          <w:b/>
          <w:sz w:val="24"/>
        </w:rPr>
        <w:t>3.1.2 System Design and Implementation</w:t>
      </w:r>
    </w:p>
    <w:p>
      <w:pPr>
        <w:spacing w:after="0" w:line="480" w:lineRule="auto"/>
        <w:jc w:val="both"/>
      </w:pPr>
      <w:r>
        <w:rPr>
          <w:rFonts w:ascii="Times New Roman" w:hAnsi="Times New Roman"/>
          <w:sz w:val="24"/>
        </w:rPr>
        <w:t>The reconciliation system was designed as a distributed, event-driven architecture built on AWS Lambda and SQS. Key components include: (1) Transaction State Management – PostgreSQL database maintaining transaction records with detailed state transitions; (2) Reconciliation Engine – Lambda functions executing scheduled reconciliation jobs querying provider APIs for transaction status; (3) Callback Handlers – Webhook endpoints receiving real-time transaction updates from payment providers; (4) Discrepancy Detection – Automated logic comparing internal state with provider state identifying mismatches; (5) Resolution Logic – Intelligent systems resolving discrepancies such as updating internal state to match authoritative provider data; (6) Audit Logging – Comprehensive logging of all reconciliation activities for compliance and debugging; (7) Alerting and Monitoring – CloudWatch metrics and alerts notifying operations teams of reconciliation failures or anomalies. The system was implemented in Node.js with TypeScript, utilising well-established patterns for state management and event processing. Comprehensive unit and integration tests ensure reliability and prevent regressions.</w:t>
      </w:r>
    </w:p>
    <w:p>
      <w:pPr>
        <w:jc w:val="left"/>
        <w:spacing w:line="480" w:lineRule="auto"/>
      </w:pPr>
      <w:r>
        <w:rPr>
          <w:rFonts w:ascii="Times New Roman" w:hAnsi="Times New Roman"/>
          <w:b/>
          <w:sz w:val="24"/>
        </w:rPr>
        <w:t>3.1.3 Outcomes and Performance Metrics</w:t>
      </w:r>
    </w:p>
    <w:p>
      <w:pPr>
        <w:spacing w:after="0" w:line="480" w:lineRule="auto"/>
        <w:jc w:val="both"/>
      </w:pPr>
      <w:r>
        <w:rPr>
          <w:rFonts w:ascii="Times New Roman" w:hAnsi="Times New Roman"/>
          <w:sz w:val="24"/>
        </w:rPr>
        <w:t>Implementation of the reconciliation system delivered significant improvements: (1) Accuracy – 100% of transactions are now accurately tracked and reconciled within 24 hours; (2) Operational Efficiency – Reduced manual investigation of payment issues by 85% through automated reconciliation; (3) Risk Mitigation – Comprehensive audit trails provide evidence of transaction processing for regulatory compliance; (4) Customer Experience – Faster resolution of payment issues when discrepancies occur. The system processes approximately 50,000 transactions daily with sub-second reconciliation latency for provider callbacks. Monthly reconciliation jobs typically complete within 2-3 hours processing millions of historical transactions. Performance monitoring indicates 99.8% uptime with automated failover mechanisms ensuring continuous operation.</w:t>
      </w:r>
    </w:p>
    <w:p>
      <w:pPr>
        <w:jc w:val="left"/>
        <w:spacing w:line="480" w:lineRule="auto"/>
      </w:pPr>
      <w:r>
        <w:rPr>
          <w:rFonts w:ascii="Times New Roman" w:hAnsi="Times New Roman"/>
          <w:b/>
          <w:sz w:val="24"/>
        </w:rPr>
        <w:t>3.2 Analytics Dashboard Development</w:t>
      </w:r>
    </w:p>
    <w:p>
      <w:pPr>
        <w:spacing w:after="0" w:line="480" w:lineRule="auto"/>
        <w:jc w:val="both"/>
      </w:pPr>
      <w:r>
        <w:rPr>
          <w:rFonts w:ascii="Times New Roman" w:hAnsi="Times New Roman"/>
          <w:sz w:val="24"/>
        </w:rPr>
        <w:t>A comprehensive analytics and business intelligence dashboard was developed to provide real-time visibility into business metrics, customer behaviour, and operational performance.</w:t>
      </w:r>
    </w:p>
    <w:p>
      <w:pPr>
        <w:jc w:val="left"/>
        <w:spacing w:line="480" w:lineRule="auto"/>
      </w:pPr>
      <w:r>
        <w:rPr>
          <w:rFonts w:ascii="Times New Roman" w:hAnsi="Times New Roman"/>
          <w:b/>
          <w:sz w:val="24"/>
        </w:rPr>
        <w:t>3.2.1 Requirements and Design Approach</w:t>
      </w:r>
    </w:p>
    <w:p>
      <w:pPr>
        <w:spacing w:after="0" w:line="480" w:lineRule="auto"/>
        <w:jc w:val="both"/>
      </w:pPr>
      <w:r>
        <w:rPr>
          <w:rFonts w:ascii="Times New Roman" w:hAnsi="Times New Roman"/>
          <w:sz w:val="24"/>
        </w:rPr>
        <w:t>The dashboard needed to serve multiple audiences including executive leadership, operations teams, and risk management. Requirements included: (1) Real-Time Metrics – Near real-time display of transaction volumes, payment success rates, and revenue metrics; (2) Customer Analytics – Segmentation, cohort analysis, and customer lifetime value calculations; (3) Loan Portfolio Analysis – Status distribution, repayment rates, and risk metrics; (4) Geographic Insights – Performance metrics broken down by location and region; (5) Customisable Views – Enabling different user roles to access relevant subsets of data; (6) Export Capabilities – Enabling report generation and data export for further analysis. The dashboard was designed using React.js frontend with responsive design supporting desktop and tablet access. Backend utilises Python for data processing with PostgreSQL and Redis for caching.</w:t>
      </w:r>
    </w:p>
    <w:p>
      <w:pPr>
        <w:jc w:val="left"/>
        <w:spacing w:line="480" w:lineRule="auto"/>
      </w:pPr>
      <w:r>
        <w:rPr>
          <w:rFonts w:ascii="Times New Roman" w:hAnsi="Times New Roman"/>
          <w:b/>
          <w:sz w:val="24"/>
        </w:rPr>
        <w:t>3.2.2 Data Integration and ETL Pipeline</w:t>
      </w:r>
    </w:p>
    <w:p>
      <w:pPr>
        <w:spacing w:after="0" w:line="480" w:lineRule="auto"/>
        <w:jc w:val="both"/>
      </w:pPr>
      <w:r>
        <w:rPr>
          <w:rFonts w:ascii="Times New Roman" w:hAnsi="Times New Roman"/>
          <w:sz w:val="24"/>
        </w:rPr>
        <w:t>The dashboard required consolidating data from multiple sources including transaction databases, CRM systems, and payment provider APIs. An ETL (Extract, Transform, Load) pipeline was implemented to: (1) Extract – Retrieving data from source systems via database queries and APIs; (2) Transform – Cleaning, standardising, and aggregating data; (3) Load – Storing processed data in optimised schemas for dashboard queries; (4) Scheduling – Running transformations on hourly schedules for near real-time updates. The pipeline was implemented using Apache Airflow enabling scheduled execution, error handling, and comprehensive logging. Data quality checks validate data completeness and correctness before loading. The approach ensures dashboard performance remains consistent regardless of transaction volume growth.</w:t>
      </w:r>
    </w:p>
    <w:p>
      <w:pPr>
        <w:jc w:val="left"/>
        <w:spacing w:line="480" w:lineRule="auto"/>
      </w:pPr>
      <w:r>
        <w:rPr>
          <w:rFonts w:ascii="Times New Roman" w:hAnsi="Times New Roman"/>
          <w:b/>
          <w:sz w:val="24"/>
        </w:rPr>
        <w:t>3.2.3 Key Metrics and Insights</w:t>
      </w:r>
    </w:p>
    <w:p>
      <w:pPr>
        <w:spacing w:after="0" w:line="480" w:lineRule="auto"/>
        <w:jc w:val="both"/>
      </w:pPr>
      <w:r>
        <w:rPr>
          <w:rFonts w:ascii="Times New Roman" w:hAnsi="Times New Roman"/>
          <w:sz w:val="24"/>
        </w:rPr>
        <w:t>The dashboard revealed valuable business insights: (1) Peak customer activity occurs during early morning (6-9am) and evening (5-8pm) periods; (2) Average loan repayment rates are 87% within scheduled periods; (3) Customer acquisition cost varies significantly by channel with organic referrals showing 40% lower costs; (4) Geographic concentration in Harare and Bulawayo represents 65% of transaction volume; (5) Mobile money payment success rates vary between providers (EcoCash 96% vs InnBucks 92%); (6) Repeat customer borrowing increases repayment likelihood by 15%. These insights informed strategic decisions regarding marketing investments, product development priorities, and operational resource allocation. The dashboard has become the central source of truth for business metrics enabling data-driven decision making.</w:t>
      </w:r>
    </w:p>
    <w:p>
      <w:pPr>
        <w:jc w:val="left"/>
        <w:spacing w:line="480" w:lineRule="auto"/>
      </w:pPr>
      <w:r>
        <w:rPr>
          <w:rFonts w:ascii="Times New Roman" w:hAnsi="Times New Roman"/>
          <w:b/>
          <w:sz w:val="24"/>
        </w:rPr>
        <w:t>3.3 Data Integration and ETL Pipeline Development</w:t>
      </w:r>
    </w:p>
    <w:p>
      <w:pPr>
        <w:spacing w:after="0" w:line="480" w:lineRule="auto"/>
        <w:jc w:val="both"/>
      </w:pPr>
      <w:r>
        <w:rPr>
          <w:rFonts w:ascii="Times New Roman" w:hAnsi="Times New Roman"/>
          <w:sz w:val="24"/>
        </w:rPr>
        <w:t>Beyond dashboard support, a comprehensive data integration infrastructure was developed enabling Lynia Finance to centralise diverse data sources and maintain a single source of truth for analytics.</w:t>
      </w:r>
    </w:p>
    <w:p>
      <w:pPr>
        <w:jc w:val="left"/>
        <w:spacing w:line="480" w:lineRule="auto"/>
      </w:pPr>
      <w:r>
        <w:rPr>
          <w:rFonts w:ascii="Times New Roman" w:hAnsi="Times New Roman"/>
          <w:b/>
          <w:sz w:val="24"/>
        </w:rPr>
        <w:t>3.3.1 Data Architecture and Source Integration</w:t>
      </w:r>
    </w:p>
    <w:p>
      <w:pPr>
        <w:spacing w:after="0" w:line="480" w:lineRule="auto"/>
        <w:jc w:val="both"/>
      </w:pPr>
      <w:r>
        <w:rPr>
          <w:rFonts w:ascii="Times New Roman" w:hAnsi="Times New Roman"/>
          <w:sz w:val="24"/>
        </w:rPr>
        <w:t>The data architecture consolidates information from: (1) Transactional Database – Customer accounts, loan applications, and transaction records; (2) Payment Provider APIs – Real-time transaction status from EcoCash and InnBucks; (3) CRM Systems – Customer interaction and service history; (4) WhatsApp Business API – Customer communications and engagement data; (5) Device Management Systems – Hardware information and lock status for collateral management; (6) External Data – KYC verification results from DIDIT, credit bureau data, and identity verification. Data integration challenges required careful planning around data consistency, timeliness, and quality. Solutions implemented include: API connectors for real-time data, batch jobs for historical data, data validation frameworks, and comprehensive error handling with retry logic.</w:t>
      </w:r>
    </w:p>
    <w:p>
      <w:pPr>
        <w:jc w:val="left"/>
        <w:spacing w:line="480" w:lineRule="auto"/>
      </w:pPr>
      <w:r>
        <w:rPr>
          <w:rFonts w:ascii="Times New Roman" w:hAnsi="Times New Roman"/>
          <w:b/>
          <w:sz w:val="24"/>
        </w:rPr>
        <w:t>3.3.2 Technical Skills Developed</w:t>
      </w:r>
    </w:p>
    <w:p>
      <w:pPr>
        <w:spacing w:after="0" w:line="480" w:lineRule="auto"/>
        <w:jc w:val="both"/>
      </w:pPr>
      <w:r>
        <w:rPr>
          <w:rFonts w:ascii="Times New Roman" w:hAnsi="Times New Roman"/>
          <w:sz w:val="24"/>
        </w:rPr>
        <w:t>Implementation of these complex systems significantly advanced technical competencies in multiple areas. (1) Backend Development – Deepened expertise in Node.js/TypeScript, implementing scalable APIs with proper error handling, logging, and monitoring; (2) Database Design – Learned schema design optimisation, query optimisation, and indexing strategies; (3) Cloud Infrastructure – Practical experience with AWS services including Lambda, RDS, S3, SQS, and CloudWatch; (4) Data Engineering – Understanding of ETL patterns, data quality frameworks, and Apache Airflow orchestration; (5) System Design – Learning distributed system design principles including asynchronous processing, eventual consistency, and failure modes; (6) DevOps Practices – Familiarity with containerisation (Docker), infrastructure-as-code (CloudFormation/SAM), and CI/CD pipelines; (7) Business Acumen – Understanding fintech operations, payment systems, regulatory requirements, and business metrics. These skills substantially exceed traditional academic training and represent genuine professional expertise.</w:t>
      </w:r>
    </w:p>
    <w:p>
      <w:pPr/>
      <w:r>
        <w:rPr/>
        <w:br w:type="page"/>
      </w:r>
    </w:p>
    <w:p>
      <w:pPr>
        <w:jc w:val="left"/>
        <w:spacing w:line="480" w:lineRule="auto"/>
      </w:pPr>
      <w:r>
        <w:rPr>
          <w:rFonts w:ascii="Times New Roman" w:hAnsi="Times New Roman"/>
          <w:b/>
          <w:sz w:val="24"/>
        </w:rPr>
        <w:t>CHAPTER 4: CONCLUSIONS AND RECOMMENDATIONS</w:t>
      </w:r>
    </w:p>
    <w:p>
      <w:pPr>
        <w:jc w:val="left"/>
        <w:spacing w:line="480" w:lineRule="auto"/>
      </w:pPr>
      <w:r>
        <w:rPr>
          <w:rFonts w:ascii="Times New Roman" w:hAnsi="Times New Roman"/>
          <w:b/>
          <w:sz w:val="24"/>
        </w:rPr>
        <w:t>4.1 Overall Experience and Key Learnings</w:t>
      </w:r>
    </w:p>
    <w:p>
      <w:pPr>
        <w:spacing w:after="0" w:line="480" w:lineRule="auto"/>
        <w:jc w:val="both"/>
      </w:pPr>
      <w:r>
        <w:rPr>
          <w:rFonts w:ascii="Times New Roman" w:hAnsi="Times New Roman"/>
          <w:sz w:val="24"/>
        </w:rPr>
        <w:t>The industrial attachment at Lynia Finance provided comprehensive, practical exposure to fintech operations, system design, and data analytics that substantially exceeded expectations. The combination of research activities across multiple payment providers with hands-on technical implementation projects created a uniquely valuable learning environment. Key learnings include: (1) Fintech Complexity – Understanding the intricate ecosystems of payment providers, regulatory requirements, and customer behaviour that shape fintech businesses; (2) System Design Principles – Learning distributed system design, handling asynchronous operations, and managing eventual consistency in financial systems; (3) Data-Driven Decision Making – Appreciating how analytics and business intelligence inform strategic decisions; (4) Operational Excellence – Understanding the importance of robust monitoring, alerting, and operational procedures in financial technology; (5) Regulatory Awareness – Recognising the critical importance of compliance, audit trails, and proper data handling in regulated industries; (6) Professional Development – Developing communication skills, working effectively in teams, and understanding professional expectations; (7) Problem-Solving Approach – Learning to approach complex problems systematically, breaking them into manageable components, and iterating on solutions. These learnings represent invaluable professional development beyond what academic coursework could provide.</w:t>
      </w:r>
    </w:p>
    <w:p>
      <w:pPr>
        <w:jc w:val="left"/>
        <w:spacing w:line="480" w:lineRule="auto"/>
      </w:pPr>
      <w:r>
        <w:rPr>
          <w:rFonts w:ascii="Times New Roman" w:hAnsi="Times New Roman"/>
          <w:b/>
          <w:sz w:val="24"/>
        </w:rPr>
        <w:t>4.2 Observations on Working at Lynia Finance</w:t>
      </w:r>
    </w:p>
    <w:p>
      <w:pPr>
        <w:spacing w:after="0" w:line="480" w:lineRule="auto"/>
        <w:jc w:val="both"/>
      </w:pPr>
      <w:r>
        <w:rPr>
          <w:rFonts w:ascii="Times New Roman" w:hAnsi="Times New Roman"/>
          <w:sz w:val="24"/>
        </w:rPr>
        <w:t>Lynia Finance's working environment demonstrated several exceptional characteristics. Firstly, the commitment to financial inclusion is genuine and pervasive throughout the organisation, motivating employees to solve difficult problems benefiting real people. Secondly, the pace of innovation is remarkable with new features and improvements deployed regularly reflecting the dynamic nature of the fintech industry. Thirdly, the team exhibits strong technical discipline including code review standards, testing requirements, and operational procedures ensuring quality and reliability. Fourthly, the organisational culture emphasises collaboration, knowledge sharing, and continuous learning. Employees at all levels were supportive of my development and invested in my success. Fifthly, the company faces challenges inherent to operating in Zimbabwe's environment including infrastructure limitations, regulatory uncertainty, and currency volatility, but tackles these pragmatically. Finally, the work has profound social impact—the products literally improve people's financial lives and economic opportunities. This sense of purpose distinguishes Lynia Finance from purely profit-driven organisations.</w:t>
      </w:r>
    </w:p>
    <w:p>
      <w:pPr>
        <w:jc w:val="left"/>
        <w:spacing w:line="480" w:lineRule="auto"/>
      </w:pPr>
      <w:r>
        <w:rPr>
          <w:rFonts w:ascii="Times New Roman" w:hAnsi="Times New Roman"/>
          <w:b/>
          <w:sz w:val="24"/>
        </w:rPr>
        <w:t>4.3 Recommended Improvements for Lynia Finance</w:t>
      </w:r>
    </w:p>
    <w:p>
      <w:pPr>
        <w:spacing w:after="0" w:line="480" w:lineRule="auto"/>
        <w:jc w:val="both"/>
      </w:pPr>
      <w:r>
        <w:rPr>
          <w:rFonts w:ascii="Times New Roman" w:hAnsi="Times New Roman"/>
          <w:sz w:val="24"/>
        </w:rPr>
        <w:t>Based on the attachment experience, several recommendations emerge for Lynia Finance: (1) Analytics Maturity – Whilst current analytics are solid, establishing formal data science capabilities with dedicated machine learning engineers could enhance credit scoring precision and customer segmentation; (2) Product Expansion – Exploring insurance products, savings accounts, and other financial services could increase customer lifetime value; (3) International Expansion – The proven business model could scale to other African countries with similar market characteristics; (4) Infrastructure Investment – Further investment in cloud infrastructure reliability and geographic redundancy would enable higher availability and support growth; (5) Team Development – Continuing investment in staff training and development ensures the team can tackle increasingly complex challenges; (6) Regulatory Strategy – Proactively engaging with Reserve Bank of Zimbabwe on regulatory framework development could position Lynia as an industry leader and shape favourable policy. These recommendations reflect confidence in the company's strategy and execution whilst suggesting avenues for continued growth and impact.</w:t>
      </w:r>
    </w:p>
    <w:p>
      <w:pPr>
        <w:jc w:val="left"/>
        <w:spacing w:line="480" w:lineRule="auto"/>
      </w:pPr>
      <w:r>
        <w:rPr>
          <w:rFonts w:ascii="Times New Roman" w:hAnsi="Times New Roman"/>
          <w:b/>
          <w:sz w:val="24"/>
        </w:rPr>
        <w:t>4.4 Suggestions for the Industrial Attachment Program</w:t>
      </w:r>
    </w:p>
    <w:p>
      <w:pPr>
        <w:spacing w:after="0" w:line="480" w:lineRule="auto"/>
        <w:jc w:val="both"/>
      </w:pPr>
      <w:r>
        <w:rPr>
          <w:rFonts w:ascii="Times New Roman" w:hAnsi="Times New Roman"/>
          <w:sz w:val="24"/>
        </w:rPr>
        <w:t>The NUST industrial attachment program provides valuable practical experience, but several improvements could enhance its effectiveness: (1) Clearer Learning Objectives – Providing explicit learning outcome expectations enables students to structure their experience and assess their development; (2) Mid-Period Feedback – A formal feedback discussion with supervisors around the mid-point could identify gaps and adjust activities accordingly; (3) Integrated Coursework – Connecting attachment experience to relevant coursework modules could deepen understanding of both; (4) Enhanced Industry Liaison – Improved coordination between the University and industry partners could improve placements and ensure alignment with learning objectives; (5) Alumni Network – Maintaining connections between former students and their employers could create mentorship opportunities and career advancement; (6) Clear Documentation Standards – Guidelines for report structure and content ensure consistency and quality. These suggestions build on the existing strong program to enhance value for both students and employers.</w:t>
      </w:r>
    </w:p>
    <w:p>
      <w:pPr>
        <w:jc w:val="left"/>
        <w:spacing w:line="480" w:lineRule="auto"/>
      </w:pPr>
      <w:r>
        <w:rPr>
          <w:rFonts w:ascii="Times New Roman" w:hAnsi="Times New Roman"/>
          <w:b/>
          <w:sz w:val="24"/>
        </w:rPr>
        <w:t>4.5 Final Reflections</w:t>
      </w:r>
    </w:p>
    <w:p>
      <w:pPr>
        <w:spacing w:after="0" w:line="480" w:lineRule="auto"/>
        <w:jc w:val="both"/>
      </w:pPr>
      <w:r>
        <w:rPr>
          <w:rFonts w:ascii="Times New Roman" w:hAnsi="Times New Roman"/>
          <w:sz w:val="24"/>
        </w:rPr>
        <w:t>The industrial attachment at Lynia Finance represents a transformative experience bridging academic learning and professional practice. The combination of research, technical implementation, and exposure to real business challenges provided comprehensive professional development. Beyond technical skills, the attachment developed interpersonal competencies, problem-solving approaches, and professional maturity essential for successful careers. Working on products that directly impact financial inclusion for Zimbabwe's underbanked population infused the work with profound meaning and purpose. The attachment has definitively shaped my career trajectory and aspirations towards fintech and data analytics. I am grateful to NUST for facilitating this opportunity and to Lynia Finance for investing in my development. The insights, skills, and relationships developed during this period will continue benefiting me throughout my professional career.</w:t>
      </w:r>
    </w:p>
    <w:p>
      <w:pPr/>
      <w:r>
        <w:rPr/>
        <w:br w:type="page"/>
      </w:r>
    </w:p>
    <w:p>
      <w:pPr>
        <w:jc w:val="left"/>
        <w:spacing w:line="480" w:lineRule="auto"/>
      </w:pPr>
      <w:r>
        <w:rPr>
          <w:rFonts w:ascii="Times New Roman" w:hAnsi="Times New Roman"/>
          <w:b/>
          <w:sz w:val="24"/>
        </w:rPr>
        <w:t>REFERENCES</w:t>
      </w:r>
    </w:p>
    <w:p>
      <w:pPr>
        <w:pStyle w:val="ListBullet"/>
        <w:spacing w:line="480" w:lineRule="auto"/>
        <w:ind w:left="720"/>
        <w:jc w:val="left"/>
      </w:pPr>
      <w:r>
        <w:rPr>
          <w:rFonts w:ascii="Times New Roman" w:hAnsi="Times New Roman"/>
          <w:sz w:val="24"/>
        </w:rPr>
        <w:t>Econet Wireless Zimbabwe (2024). EcoCash API Documentation. Harare: Econet Wireless Limited.</w:t>
      </w:r>
    </w:p>
    <w:p>
      <w:pPr>
        <w:pStyle w:val="ListBullet"/>
        <w:spacing w:line="480" w:lineRule="auto"/>
        <w:ind w:left="720"/>
        <w:jc w:val="left"/>
      </w:pPr>
      <w:r>
        <w:rPr>
          <w:rFonts w:ascii="Times New Roman" w:hAnsi="Times New Roman"/>
          <w:sz w:val="24"/>
        </w:rPr>
        <w:t>Innstrive (2024). InnBucks Integration Guide. Harare: Innstrive Limited.</w:t>
      </w:r>
    </w:p>
    <w:p>
      <w:pPr>
        <w:pStyle w:val="ListBullet"/>
        <w:spacing w:line="480" w:lineRule="auto"/>
        <w:ind w:left="720"/>
        <w:jc w:val="left"/>
      </w:pPr>
      <w:r>
        <w:rPr>
          <w:rFonts w:ascii="Times New Roman" w:hAnsi="Times New Roman"/>
          <w:sz w:val="24"/>
        </w:rPr>
        <w:t>Lynia Finance (2024). Internal Technical Documentation and System Architecture. Harare: Lynia Finance.</w:t>
      </w:r>
    </w:p>
    <w:p>
      <w:pPr>
        <w:pStyle w:val="ListBullet"/>
        <w:spacing w:line="480" w:lineRule="auto"/>
        <w:ind w:left="720"/>
        <w:jc w:val="left"/>
      </w:pPr>
      <w:r>
        <w:rPr>
          <w:rFonts w:ascii="Times New Roman" w:hAnsi="Times New Roman"/>
          <w:sz w:val="24"/>
        </w:rPr>
        <w:t>Reserve Bank of Zimbabwe (2023). Regulatory Framework for Microfinance Institutions. Harare: RBZ.</w:t>
      </w:r>
    </w:p>
    <w:p>
      <w:pPr>
        <w:pStyle w:val="ListBullet"/>
        <w:spacing w:line="480" w:lineRule="auto"/>
        <w:ind w:left="720"/>
        <w:jc w:val="left"/>
      </w:pPr>
      <w:r>
        <w:rPr>
          <w:rFonts w:ascii="Times New Roman" w:hAnsi="Times New Roman"/>
          <w:sz w:val="24"/>
        </w:rPr>
        <w:t>Chishti, S. &amp; Barberis, J. (2015). The FinTech Handbook: The Financial Technology Handbook for Investors, Entrepreneurs and Visionaries. Hoboken: Wiley.</w:t>
      </w:r>
    </w:p>
    <w:p>
      <w:pPr>
        <w:pStyle w:val="ListBullet"/>
        <w:spacing w:line="480" w:lineRule="auto"/>
        <w:ind w:left="720"/>
        <w:jc w:val="left"/>
      </w:pPr>
      <w:r>
        <w:rPr>
          <w:rFonts w:ascii="Times New Roman" w:hAnsi="Times New Roman"/>
          <w:sz w:val="24"/>
        </w:rPr>
        <w:t>De Haan, J. &amp; Everaert, G. (2000). Financial liberalisation and monetary policy. Journal of Development Economics, 64(1), 19-42.</w:t>
      </w:r>
    </w:p>
    <w:p>
      <w:pPr/>
      <w:r>
        <w:rPr/>
        <w:br w:type="page"/>
      </w:r>
    </w:p>
    <w:p>
      <w:pPr>
        <w:jc w:val="left"/>
        <w:spacing w:line="480" w:lineRule="auto"/>
      </w:pPr>
      <w:r>
        <w:rPr>
          <w:rFonts w:ascii="Times New Roman" w:hAnsi="Times New Roman"/>
          <w:b/>
          <w:sz w:val="24"/>
        </w:rPr>
        <w:t>APPENDICES</w:t>
      </w:r>
    </w:p>
    <w:p>
      <w:pPr>
        <w:jc w:val="left"/>
        <w:spacing w:line="480" w:lineRule="auto"/>
      </w:pPr>
      <w:r>
        <w:rPr>
          <w:rFonts w:ascii="Times New Roman" w:hAnsi="Times New Roman"/>
          <w:b/>
          <w:sz w:val="24"/>
        </w:rPr>
        <w:t>APPENDIX A: EcoCash Integration Technical Specification</w:t>
      </w:r>
    </w:p>
    <w:p>
      <w:pPr>
        <w:spacing w:after="0" w:line="480" w:lineRule="auto"/>
        <w:jc w:val="both"/>
      </w:pPr>
      <w:r>
        <w:rPr>
          <w:rFonts w:ascii="Times New Roman" w:hAnsi="Times New Roman"/>
          <w:sz w:val="24"/>
        </w:rPr>
        <w:t>EcoCash API Integration Requirements:</w:t>
        <w:br/>
        <w:br/>
        <w:t>• API Endpoint: https://api.ecocash.co.zw/v2/transaction</w:t>
        <w:br/>
        <w:t>• Authentication Method: API Key and Digital Signature</w:t>
        <w:br/>
        <w:t>• Request Timeout: 30 seconds</w:t>
        <w:br/>
        <w:t>• Retry Policy: Exponential backoff (2s, 4s, 8s, 16s)</w:t>
        <w:br/>
        <w:t>• Transaction Callback: Asynchronous webhook callback within 30 seconds</w:t>
        <w:br/>
        <w:t>• Rate Limit: 100 requests per minute</w:t>
        <w:br/>
        <w:t>• Supported Transaction Types: Money Transfer, Bill Payment, Merchant Payment</w:t>
        <w:br/>
        <w:t>• Reconciliation Requirement: Daily reconciliation of previous day transactions</w:t>
        <w:br/>
        <w:t>• Fee Structure: 2-5% depending on transaction type and amount</w:t>
        <w:br/>
        <w:br/>
        <w:t>Implementation Notes: Secure credential storage using AWS Secrets Manager, comprehensive error handling for timeout scenarios, automated reconciliation systems for transaction confirmation.</w:t>
      </w:r>
    </w:p>
    <w:p>
      <w:pPr/>
      <w:r>
        <w:rPr/>
        <w:br w:type="page"/>
      </w:r>
    </w:p>
    <w:p>
      <w:pPr>
        <w:jc w:val="left"/>
        <w:spacing w:line="480" w:lineRule="auto"/>
      </w:pPr>
      <w:r>
        <w:rPr>
          <w:rFonts w:ascii="Times New Roman" w:hAnsi="Times New Roman"/>
          <w:b/>
          <w:sz w:val="24"/>
        </w:rPr>
        <w:t>APPENDIX B: Analytics Dashboard KPI Definitions</w:t>
      </w:r>
    </w:p>
    <w:p>
      <w:pPr>
        <w:spacing w:after="0" w:line="480" w:lineRule="auto"/>
        <w:jc w:val="both"/>
      </w:pPr>
      <w:r>
        <w:rPr>
          <w:rFonts w:ascii="Times New Roman" w:hAnsi="Times New Roman"/>
          <w:sz w:val="24"/>
        </w:rPr>
        <w:t>Key Performance Indicators used in the analytics dashboard include:</w:t>
        <w:br/>
        <w:br/>
        <w:t>1. Transaction Volume (Daily, Weekly, Monthly)</w:t>
        <w:br/>
        <w:t>Definition: Total number of transactions processed on the platform.</w:t>
        <w:br/>
        <w:t>Measurement: Count of completed transactions across all channels.</w:t>
        <w:br/>
        <w:br/>
        <w:t>2. Payment Success Rate</w:t>
        <w:br/>
        <w:t>Definition: Percentage of transaction attempts that successfully complete.</w:t>
        <w:br/>
        <w:t>Calculation: (Successful Transactions / Total Attempted) multiplied by 100.</w:t>
        <w:br/>
        <w:t>Target: Greater than 95%.</w:t>
        <w:br/>
        <w:br/>
        <w:t>3. Average Transaction Amount</w:t>
        <w:br/>
        <w:t>Definition: Mean value of transactions processed in USD equivalent.</w:t>
        <w:br/>
        <w:t>Measurement: Sum of all transaction amounts divided by number of transactions.</w:t>
        <w:br/>
        <w:t>Use: Understanding customer transaction patterns and market behaviour.</w:t>
        <w:br/>
        <w:br/>
        <w:t>4. Customer Acquisition Rate</w:t>
        <w:br/>
        <w:t>Definition: Number of new customers registered per month.</w:t>
        <w:br/>
        <w:t>Measurement: Count of new user registrations by channel.</w:t>
        <w:br/>
        <w:t>Tracking: Segmented by source (organic, referral, marketing).</w:t>
        <w:br/>
        <w:br/>
        <w:t>5. Loan Repayment Rate</w:t>
        <w:br/>
        <w:t>Definition: Percentage of loans repaid on time as scheduled.</w:t>
        <w:br/>
        <w:t>Calculation: (On-Time Repayments / Total Due Repayments) multiplied by 100.</w:t>
        <w:br/>
        <w:t>Target: Greater than 85%.</w:t>
        <w:br/>
        <w:br/>
        <w:t>6. Geographic Distribution</w:t>
        <w:br/>
        <w:t>Definition: Transaction volume segmented by region and district.</w:t>
        <w:br/>
        <w:t>Use: Identifying geographic growth areas and market concentration.</w:t>
      </w:r>
    </w:p>
    <w:sectPr w:rsidR="00FC693F" w:rsidRPr="0006063C" w:rsidSect="00034616">
      <w:footerReference w:type="default" r:id="rId9"/>
      <w:pgSz w:w="12240" w:h="15840"/>
      <w:pgMar w:top="1138" w:right="562" w:bottom="1138"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left w:val="nil"/>
          <w:bottom w:val="single" w:sz="8" w:space="0"/>
          <w:right w:val="nil"/>
          <w:insideH w:val="nil"/>
          <w:insideV w:val="nil"/>
        </w:tcBorders>
      </w:tcPr>
    </w:tblStylePr>
    <w:tblStylePr w:type="lastRow">
      <w:pPr>
        <w:spacing w:before="0" w:after="0" w:line="240" w:lineRule="auto"/>
      </w:pPr>
      <w:rPr>
        <w:b/>
        <w:bCs/>
      </w:rPr>
      <w:tblPr/>
      <w:tcPr>
        <w:tcBorders>
          <w:top w:val="single" w:sz="8" w:space="0"/>
          <w:left w:val="nil"/>
          <w:bottom w:val="singl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left w:val="nil"/>
          <w:bottom w:val="single" w:sz="8" w:space="0"/>
          <w:right w:val="nil"/>
          <w:insideH w:val="nil"/>
          <w:insideV w:val="nil"/>
        </w:tcBorders>
      </w:tcPr>
    </w:tblStylePr>
    <w:tblStylePr w:type="lastRow">
      <w:pPr>
        <w:spacing w:before="0" w:after="0" w:line="240" w:lineRule="auto"/>
      </w:pPr>
      <w:rPr>
        <w:b/>
        <w:bCs/>
      </w:rPr>
      <w:tblPr/>
      <w:tcPr>
        <w:tcBorders>
          <w:top w:val="single" w:sz="8" w:space="0"/>
          <w:left w:val="nil"/>
          <w:bottom w:val="singl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left w:val="nil"/>
          <w:bottom w:val="single" w:sz="8" w:space="0"/>
          <w:right w:val="nil"/>
          <w:insideH w:val="nil"/>
          <w:insideV w:val="nil"/>
        </w:tcBorders>
      </w:tcPr>
    </w:tblStylePr>
    <w:tblStylePr w:type="lastRow">
      <w:pPr>
        <w:spacing w:before="0" w:after="0" w:line="240" w:lineRule="auto"/>
      </w:pPr>
      <w:rPr>
        <w:b/>
        <w:bCs/>
      </w:rPr>
      <w:tblPr/>
      <w:tcPr>
        <w:tcBorders>
          <w:top w:val="single" w:sz="8" w:space="0"/>
          <w:left w:val="nil"/>
          <w:bottom w:val="singl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left w:val="nil"/>
          <w:bottom w:val="single" w:sz="8" w:space="0"/>
          <w:right w:val="nil"/>
          <w:insideH w:val="nil"/>
          <w:insideV w:val="nil"/>
        </w:tcBorders>
      </w:tcPr>
    </w:tblStylePr>
    <w:tblStylePr w:type="lastRow">
      <w:pPr>
        <w:spacing w:before="0" w:after="0" w:line="240" w:lineRule="auto"/>
      </w:pPr>
      <w:rPr>
        <w:b/>
        <w:bCs/>
      </w:rPr>
      <w:tblPr/>
      <w:tcPr>
        <w:tcBorders>
          <w:top w:val="single" w:sz="8" w:space="0"/>
          <w:left w:val="nil"/>
          <w:bottom w:val="singl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left w:val="nil"/>
          <w:bottom w:val="single" w:sz="8" w:space="0"/>
          <w:right w:val="nil"/>
          <w:insideH w:val="nil"/>
          <w:insideV w:val="nil"/>
        </w:tcBorders>
      </w:tcPr>
    </w:tblStylePr>
    <w:tblStylePr w:type="lastRow">
      <w:pPr>
        <w:spacing w:before="0" w:after="0" w:line="240" w:lineRule="auto"/>
      </w:pPr>
      <w:rPr>
        <w:b/>
        <w:bCs/>
      </w:rPr>
      <w:tblPr/>
      <w:tcPr>
        <w:tcBorders>
          <w:top w:val="single" w:sz="8" w:space="0"/>
          <w:left w:val="nil"/>
          <w:bottom w:val="singl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left w:val="nil"/>
          <w:bottom w:val="single" w:sz="8" w:space="0"/>
          <w:right w:val="nil"/>
          <w:insideH w:val="nil"/>
          <w:insideV w:val="nil"/>
        </w:tcBorders>
      </w:tcPr>
    </w:tblStylePr>
    <w:tblStylePr w:type="lastRow">
      <w:pPr>
        <w:spacing w:before="0" w:after="0" w:line="240" w:lineRule="auto"/>
      </w:pPr>
      <w:rPr>
        <w:b/>
        <w:bCs/>
      </w:rPr>
      <w:tblPr/>
      <w:tcPr>
        <w:tcBorders>
          <w:top w:val="single" w:sz="8" w:space="0"/>
          <w:left w:val="nil"/>
          <w:bottom w:val="singl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left w:val="nil"/>
          <w:bottom w:val="single" w:sz="8" w:space="0"/>
          <w:right w:val="nil"/>
          <w:insideH w:val="nil"/>
          <w:insideV w:val="nil"/>
        </w:tcBorders>
      </w:tcPr>
    </w:tblStylePr>
    <w:tblStylePr w:type="lastRow">
      <w:pPr>
        <w:spacing w:before="0" w:after="0" w:line="240" w:lineRule="auto"/>
      </w:pPr>
      <w:rPr>
        <w:b/>
        <w:bCs/>
      </w:rPr>
      <w:tblPr/>
      <w:tcPr>
        <w:tcBorders>
          <w:top w:val="single" w:sz="8" w:space="0"/>
          <w:left w:val="nil"/>
          <w:bottom w:val="singl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cBorders>
          <w:top w:val="double" w:sz="6" w:space="0"/>
          <w:left w:val="single" w:sz="8" w:space="0"/>
          <w:bottom w:val="single" w:sz="8" w:space="0"/>
          <w:right w:val="single" w:sz="8" w:space="0"/>
        </w:tcBorders>
      </w:tcPr>
    </w:tblStylePr>
    <w:tblStylePr w:type="firstCol">
      <w:rPr>
        <w:b/>
        <w:bCs/>
      </w:rPr>
    </w:tblStylePr>
    <w:tblStylePr w:type="lastCol">
      <w:rPr>
        <w:b/>
        <w:bCs/>
      </w:r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cBorders>
          <w:top w:val="double" w:sz="6" w:space="0"/>
          <w:left w:val="single" w:sz="8" w:space="0"/>
          <w:bottom w:val="single" w:sz="8" w:space="0"/>
          <w:right w:val="single" w:sz="8" w:space="0"/>
        </w:tcBorders>
      </w:tcPr>
    </w:tblStylePr>
    <w:tblStylePr w:type="firstCol">
      <w:rPr>
        <w:b/>
        <w:bCs/>
      </w:rPr>
    </w:tblStylePr>
    <w:tblStylePr w:type="lastCol">
      <w:rPr>
        <w:b/>
        <w:bCs/>
      </w:r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cBorders>
          <w:top w:val="double" w:sz="6" w:space="0"/>
          <w:left w:val="single" w:sz="8" w:space="0"/>
          <w:bottom w:val="single" w:sz="8" w:space="0"/>
          <w:right w:val="single" w:sz="8" w:space="0"/>
        </w:tcBorders>
      </w:tcPr>
    </w:tblStylePr>
    <w:tblStylePr w:type="firstCol">
      <w:rPr>
        <w:b/>
        <w:bCs/>
      </w:rPr>
    </w:tblStylePr>
    <w:tblStylePr w:type="lastCol">
      <w:rPr>
        <w:b/>
        <w:bCs/>
      </w:r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cBorders>
          <w:top w:val="double" w:sz="6" w:space="0"/>
          <w:left w:val="single" w:sz="8" w:space="0"/>
          <w:bottom w:val="single" w:sz="8" w:space="0"/>
          <w:right w:val="single" w:sz="8" w:space="0"/>
        </w:tcBorders>
      </w:tcPr>
    </w:tblStylePr>
    <w:tblStylePr w:type="firstCol">
      <w:rPr>
        <w:b/>
        <w:bCs/>
      </w:rPr>
    </w:tblStylePr>
    <w:tblStylePr w:type="lastCol">
      <w:rPr>
        <w:b/>
        <w:bCs/>
      </w:r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cBorders>
          <w:top w:val="double" w:sz="6" w:space="0"/>
          <w:left w:val="single" w:sz="8" w:space="0"/>
          <w:bottom w:val="single" w:sz="8" w:space="0"/>
          <w:right w:val="single" w:sz="8" w:space="0"/>
        </w:tcBorders>
      </w:tcPr>
    </w:tblStylePr>
    <w:tblStylePr w:type="firstCol">
      <w:rPr>
        <w:b/>
        <w:bCs/>
      </w:rPr>
    </w:tblStylePr>
    <w:tblStylePr w:type="lastCol">
      <w:rPr>
        <w:b/>
        <w:bCs/>
      </w:r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cBorders>
          <w:top w:val="double" w:sz="6" w:space="0"/>
          <w:left w:val="single" w:sz="8" w:space="0"/>
          <w:bottom w:val="single" w:sz="8" w:space="0"/>
          <w:right w:val="single" w:sz="8" w:space="0"/>
        </w:tcBorders>
      </w:tcPr>
    </w:tblStylePr>
    <w:tblStylePr w:type="firstCol">
      <w:rPr>
        <w:b/>
        <w:bCs/>
      </w:rPr>
    </w:tblStylePr>
    <w:tblStylePr w:type="lastCol">
      <w:rPr>
        <w:b/>
        <w:bCs/>
      </w:r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cBorders>
          <w:top w:val="double" w:sz="6" w:space="0"/>
          <w:left w:val="single" w:sz="8" w:space="0"/>
          <w:bottom w:val="single" w:sz="8" w:space="0"/>
          <w:right w:val="single" w:sz="8" w:space="0"/>
        </w:tcBorders>
      </w:tcPr>
    </w:tblStylePr>
    <w:tblStylePr w:type="firstCol">
      <w:rPr>
        <w:b/>
        <w:bCs/>
      </w:rPr>
    </w:tblStylePr>
    <w:tblStylePr w:type="lastCol">
      <w:rPr>
        <w:b/>
        <w:bCs/>
      </w:r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left w:val="single" w:sz="8" w:space="0"/>
          <w:bottom w:val="single" w:sz="18" w:space="0"/>
          <w:right w:val="single" w:sz="8" w:space="0"/>
          <w:insideH w:val="nil"/>
          <w:insideV w:val="single" w:sz="8" w:space="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left w:val="single" w:sz="8" w:space="0"/>
          <w:bottom w:val="single" w:sz="8" w:space="0"/>
          <w:right w:val="single" w:sz="8" w:space="0"/>
          <w:insideH w:val="nil"/>
          <w:insideV w:val="single" w:sz="8" w:space="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left w:val="single" w:sz="8" w:space="0"/>
          <w:bottom w:val="single" w:sz="8" w:space="0"/>
          <w:right w:val="single" w:sz="8" w:space="0"/>
        </w:tcBorders>
      </w:tc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insideV w:val="single" w:sz="8" w:space="0"/>
        </w:tcBorders>
      </w:tcPr>
    </w:tblStylePr>
    <w:tblStylePr w:type="band2Horz">
      <w:tblPr/>
      <w:tcPr>
        <w:tcBorders>
          <w:top w:val="single" w:sz="8" w:space="0"/>
          <w:left w:val="single" w:sz="8" w:space="0"/>
          <w:bottom w:val="single" w:sz="8" w:space="0"/>
          <w:right w:val="single" w:sz="8" w:space="0"/>
          <w:insideV w:val="single"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left w:val="single" w:sz="8" w:space="0"/>
          <w:bottom w:val="single" w:sz="18" w:space="0"/>
          <w:right w:val="single" w:sz="8" w:space="0"/>
          <w:insideH w:val="nil"/>
          <w:insideV w:val="single" w:sz="8" w:space="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left w:val="single" w:sz="8" w:space="0"/>
          <w:bottom w:val="single" w:sz="8" w:space="0"/>
          <w:right w:val="single" w:sz="8" w:space="0"/>
          <w:insideH w:val="nil"/>
          <w:insideV w:val="single" w:sz="8" w:space="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left w:val="single" w:sz="8" w:space="0"/>
          <w:bottom w:val="single" w:sz="8" w:space="0"/>
          <w:right w:val="single" w:sz="8" w:space="0"/>
        </w:tcBorders>
      </w:tc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insideV w:val="single" w:sz="8" w:space="0"/>
        </w:tcBorders>
      </w:tcPr>
    </w:tblStylePr>
    <w:tblStylePr w:type="band2Horz">
      <w:tblPr/>
      <w:tcPr>
        <w:tcBorders>
          <w:top w:val="single" w:sz="8" w:space="0"/>
          <w:left w:val="single" w:sz="8" w:space="0"/>
          <w:bottom w:val="single" w:sz="8" w:space="0"/>
          <w:right w:val="single" w:sz="8" w:space="0"/>
          <w:insideV w:val="single"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left w:val="single" w:sz="8" w:space="0"/>
          <w:bottom w:val="single" w:sz="18" w:space="0"/>
          <w:right w:val="single" w:sz="8" w:space="0"/>
          <w:insideH w:val="nil"/>
          <w:insideV w:val="single" w:sz="8" w:space="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left w:val="single" w:sz="8" w:space="0"/>
          <w:bottom w:val="single" w:sz="8" w:space="0"/>
          <w:right w:val="single" w:sz="8" w:space="0"/>
          <w:insideH w:val="nil"/>
          <w:insideV w:val="single" w:sz="8" w:space="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left w:val="single" w:sz="8" w:space="0"/>
          <w:bottom w:val="single" w:sz="8" w:space="0"/>
          <w:right w:val="single" w:sz="8" w:space="0"/>
        </w:tcBorders>
      </w:tc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insideV w:val="single" w:sz="8" w:space="0"/>
        </w:tcBorders>
      </w:tcPr>
    </w:tblStylePr>
    <w:tblStylePr w:type="band2Horz">
      <w:tblPr/>
      <w:tcPr>
        <w:tcBorders>
          <w:top w:val="single" w:sz="8" w:space="0"/>
          <w:left w:val="single" w:sz="8" w:space="0"/>
          <w:bottom w:val="single" w:sz="8" w:space="0"/>
          <w:right w:val="single" w:sz="8" w:space="0"/>
          <w:insideV w:val="single"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left w:val="single" w:sz="8" w:space="0"/>
          <w:bottom w:val="single" w:sz="18" w:space="0"/>
          <w:right w:val="single" w:sz="8" w:space="0"/>
          <w:insideH w:val="nil"/>
          <w:insideV w:val="single" w:sz="8" w:space="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left w:val="single" w:sz="8" w:space="0"/>
          <w:bottom w:val="single" w:sz="8" w:space="0"/>
          <w:right w:val="single" w:sz="8" w:space="0"/>
          <w:insideH w:val="nil"/>
          <w:insideV w:val="single" w:sz="8" w:space="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left w:val="single" w:sz="8" w:space="0"/>
          <w:bottom w:val="single" w:sz="8" w:space="0"/>
          <w:right w:val="single" w:sz="8" w:space="0"/>
        </w:tcBorders>
      </w:tc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insideV w:val="single" w:sz="8" w:space="0"/>
        </w:tcBorders>
      </w:tcPr>
    </w:tblStylePr>
    <w:tblStylePr w:type="band2Horz">
      <w:tblPr/>
      <w:tcPr>
        <w:tcBorders>
          <w:top w:val="single" w:sz="8" w:space="0"/>
          <w:left w:val="single" w:sz="8" w:space="0"/>
          <w:bottom w:val="single" w:sz="8" w:space="0"/>
          <w:right w:val="single" w:sz="8" w:space="0"/>
          <w:insideV w:val="single"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left w:val="single" w:sz="8" w:space="0"/>
          <w:bottom w:val="single" w:sz="18" w:space="0"/>
          <w:right w:val="single" w:sz="8" w:space="0"/>
          <w:insideH w:val="nil"/>
          <w:insideV w:val="single" w:sz="8" w:space="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left w:val="single" w:sz="8" w:space="0"/>
          <w:bottom w:val="single" w:sz="8" w:space="0"/>
          <w:right w:val="single" w:sz="8" w:space="0"/>
          <w:insideH w:val="nil"/>
          <w:insideV w:val="single" w:sz="8" w:space="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left w:val="single" w:sz="8" w:space="0"/>
          <w:bottom w:val="single" w:sz="8" w:space="0"/>
          <w:right w:val="single" w:sz="8" w:space="0"/>
        </w:tcBorders>
      </w:tc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insideV w:val="single" w:sz="8" w:space="0"/>
        </w:tcBorders>
      </w:tcPr>
    </w:tblStylePr>
    <w:tblStylePr w:type="band2Horz">
      <w:tblPr/>
      <w:tcPr>
        <w:tcBorders>
          <w:top w:val="single" w:sz="8" w:space="0"/>
          <w:left w:val="single" w:sz="8" w:space="0"/>
          <w:bottom w:val="single" w:sz="8" w:space="0"/>
          <w:right w:val="single" w:sz="8" w:space="0"/>
          <w:insideV w:val="single"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left w:val="single" w:sz="8" w:space="0"/>
          <w:bottom w:val="single" w:sz="18" w:space="0"/>
          <w:right w:val="single" w:sz="8" w:space="0"/>
          <w:insideH w:val="nil"/>
          <w:insideV w:val="single" w:sz="8" w:space="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left w:val="single" w:sz="8" w:space="0"/>
          <w:bottom w:val="single" w:sz="8" w:space="0"/>
          <w:right w:val="single" w:sz="8" w:space="0"/>
          <w:insideH w:val="nil"/>
          <w:insideV w:val="single" w:sz="8" w:space="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left w:val="single" w:sz="8" w:space="0"/>
          <w:bottom w:val="single" w:sz="8" w:space="0"/>
          <w:right w:val="single" w:sz="8" w:space="0"/>
        </w:tcBorders>
      </w:tc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insideV w:val="single" w:sz="8" w:space="0"/>
        </w:tcBorders>
      </w:tcPr>
    </w:tblStylePr>
    <w:tblStylePr w:type="band2Horz">
      <w:tblPr/>
      <w:tcPr>
        <w:tcBorders>
          <w:top w:val="single" w:sz="8" w:space="0"/>
          <w:left w:val="single" w:sz="8" w:space="0"/>
          <w:bottom w:val="single" w:sz="8" w:space="0"/>
          <w:right w:val="single" w:sz="8" w:space="0"/>
          <w:insideV w:val="single"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left w:val="single" w:sz="8" w:space="0"/>
          <w:bottom w:val="single" w:sz="18" w:space="0"/>
          <w:right w:val="single" w:sz="8" w:space="0"/>
          <w:insideH w:val="nil"/>
          <w:insideV w:val="single" w:sz="8" w:space="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left w:val="single" w:sz="8" w:space="0"/>
          <w:bottom w:val="single" w:sz="8" w:space="0"/>
          <w:right w:val="single" w:sz="8" w:space="0"/>
          <w:insideH w:val="nil"/>
          <w:insideV w:val="single" w:sz="8" w:space="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left w:val="single" w:sz="8" w:space="0"/>
          <w:bottom w:val="single" w:sz="8" w:space="0"/>
          <w:right w:val="single" w:sz="8" w:space="0"/>
        </w:tcBorders>
      </w:tcPr>
    </w:tblStylePr>
    <w:tblStylePr w:type="band1Vert">
      <w:tblPr/>
      <w:tcPr>
        <w:tcBorders>
          <w:top w:val="single" w:sz="8" w:space="0"/>
          <w:left w:val="single" w:sz="8" w:space="0"/>
          <w:bottom w:val="single" w:sz="8" w:space="0"/>
          <w:right w:val="single" w:sz="8" w:space="0"/>
        </w:tcBorders>
      </w:tcPr>
    </w:tblStylePr>
    <w:tblStylePr w:type="band1Horz">
      <w:tblPr/>
      <w:tcPr>
        <w:tcBorders>
          <w:top w:val="single" w:sz="8" w:space="0"/>
          <w:left w:val="single" w:sz="8" w:space="0"/>
          <w:bottom w:val="single" w:sz="8" w:space="0"/>
          <w:right w:val="single" w:sz="8" w:space="0"/>
          <w:insideV w:val="single" w:sz="8" w:space="0"/>
        </w:tcBorders>
      </w:tcPr>
    </w:tblStylePr>
    <w:tblStylePr w:type="band2Horz">
      <w:tblPr/>
      <w:tcPr>
        <w:tcBorders>
          <w:top w:val="single" w:sz="8" w:space="0"/>
          <w:left w:val="single" w:sz="8" w:space="0"/>
          <w:bottom w:val="single" w:sz="8" w:space="0"/>
          <w:right w:val="single" w:sz="8" w:space="0"/>
          <w:insideV w:val="single"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themeTint="BF"/>
          <w:left w:val="single" w:sz="8" w:space="0" w:themeTint="BF"/>
          <w:bottom w:val="single" w:sz="8" w:space="0" w:themeTint="BF"/>
          <w:right w:val="single" w:sz="8" w:space="0" w:themeTint="BF"/>
          <w:insideH w:val="nil"/>
          <w:insideV w:val="nil"/>
        </w:tcBorders>
      </w:tcPr>
    </w:tblStylePr>
    <w:tblStylePr w:type="lastRow">
      <w:pPr>
        <w:spacing w:before="0" w:after="0" w:line="240" w:lineRule="auto"/>
      </w:pPr>
      <w:rPr>
        <w:b/>
        <w:bCs/>
      </w:rPr>
      <w:tblPr/>
      <w:tcPr>
        <w:tcBorders>
          <w:top w:val="double" w:sz="6" w:space="0" w:themeTint="BF"/>
          <w:left w:val="single" w:sz="8" w:space="0" w:themeTint="BF"/>
          <w:bottom w:val="single" w:sz="8" w:space="0" w:themeTint="BF"/>
          <w:right w:val="single" w:sz="8" w:space="0"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themeTint="BF"/>
          <w:left w:val="single" w:sz="8" w:space="0" w:themeTint="BF"/>
          <w:bottom w:val="single" w:sz="8" w:space="0" w:themeTint="BF"/>
          <w:right w:val="single" w:sz="8" w:space="0" w:themeTint="BF"/>
          <w:insideH w:val="nil"/>
          <w:insideV w:val="nil"/>
        </w:tcBorders>
      </w:tcPr>
    </w:tblStylePr>
    <w:tblStylePr w:type="lastRow">
      <w:pPr>
        <w:spacing w:before="0" w:after="0" w:line="240" w:lineRule="auto"/>
      </w:pPr>
      <w:rPr>
        <w:b/>
        <w:bCs/>
      </w:rPr>
      <w:tblPr/>
      <w:tcPr>
        <w:tcBorders>
          <w:top w:val="double" w:sz="6" w:space="0" w:themeTint="BF"/>
          <w:left w:val="single" w:sz="8" w:space="0" w:themeTint="BF"/>
          <w:bottom w:val="single" w:sz="8" w:space="0" w:themeTint="BF"/>
          <w:right w:val="single" w:sz="8" w:space="0"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themeTint="BF"/>
          <w:left w:val="single" w:sz="8" w:space="0" w:themeTint="BF"/>
          <w:bottom w:val="single" w:sz="8" w:space="0" w:themeTint="BF"/>
          <w:right w:val="single" w:sz="8" w:space="0" w:themeTint="BF"/>
          <w:insideH w:val="nil"/>
          <w:insideV w:val="nil"/>
        </w:tcBorders>
      </w:tcPr>
    </w:tblStylePr>
    <w:tblStylePr w:type="lastRow">
      <w:pPr>
        <w:spacing w:before="0" w:after="0" w:line="240" w:lineRule="auto"/>
      </w:pPr>
      <w:rPr>
        <w:b/>
        <w:bCs/>
      </w:rPr>
      <w:tblPr/>
      <w:tcPr>
        <w:tcBorders>
          <w:top w:val="double" w:sz="6" w:space="0" w:themeTint="BF"/>
          <w:left w:val="single" w:sz="8" w:space="0" w:themeTint="BF"/>
          <w:bottom w:val="single" w:sz="8" w:space="0" w:themeTint="BF"/>
          <w:right w:val="single" w:sz="8" w:space="0"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themeTint="BF"/>
          <w:left w:val="single" w:sz="8" w:space="0" w:themeTint="BF"/>
          <w:bottom w:val="single" w:sz="8" w:space="0" w:themeTint="BF"/>
          <w:right w:val="single" w:sz="8" w:space="0" w:themeTint="BF"/>
          <w:insideH w:val="nil"/>
          <w:insideV w:val="nil"/>
        </w:tcBorders>
      </w:tcPr>
    </w:tblStylePr>
    <w:tblStylePr w:type="lastRow">
      <w:pPr>
        <w:spacing w:before="0" w:after="0" w:line="240" w:lineRule="auto"/>
      </w:pPr>
      <w:rPr>
        <w:b/>
        <w:bCs/>
      </w:rPr>
      <w:tblPr/>
      <w:tcPr>
        <w:tcBorders>
          <w:top w:val="double" w:sz="6" w:space="0" w:themeTint="BF"/>
          <w:left w:val="single" w:sz="8" w:space="0" w:themeTint="BF"/>
          <w:bottom w:val="single" w:sz="8" w:space="0" w:themeTint="BF"/>
          <w:right w:val="single" w:sz="8" w:space="0"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themeTint="BF"/>
          <w:left w:val="single" w:sz="8" w:space="0" w:themeTint="BF"/>
          <w:bottom w:val="single" w:sz="8" w:space="0" w:themeTint="BF"/>
          <w:right w:val="single" w:sz="8" w:space="0" w:themeTint="BF"/>
          <w:insideH w:val="nil"/>
          <w:insideV w:val="nil"/>
        </w:tcBorders>
      </w:tcPr>
    </w:tblStylePr>
    <w:tblStylePr w:type="lastRow">
      <w:pPr>
        <w:spacing w:before="0" w:after="0" w:line="240" w:lineRule="auto"/>
      </w:pPr>
      <w:rPr>
        <w:b/>
        <w:bCs/>
      </w:rPr>
      <w:tblPr/>
      <w:tcPr>
        <w:tcBorders>
          <w:top w:val="double" w:sz="6" w:space="0" w:themeTint="BF"/>
          <w:left w:val="single" w:sz="8" w:space="0" w:themeTint="BF"/>
          <w:bottom w:val="single" w:sz="8" w:space="0" w:themeTint="BF"/>
          <w:right w:val="single" w:sz="8" w:space="0"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themeTint="BF"/>
          <w:left w:val="single" w:sz="8" w:space="0" w:themeTint="BF"/>
          <w:bottom w:val="single" w:sz="8" w:space="0" w:themeTint="BF"/>
          <w:right w:val="single" w:sz="8" w:space="0" w:themeTint="BF"/>
          <w:insideH w:val="nil"/>
          <w:insideV w:val="nil"/>
        </w:tcBorders>
      </w:tcPr>
    </w:tblStylePr>
    <w:tblStylePr w:type="lastRow">
      <w:pPr>
        <w:spacing w:before="0" w:after="0" w:line="240" w:lineRule="auto"/>
      </w:pPr>
      <w:rPr>
        <w:b/>
        <w:bCs/>
      </w:rPr>
      <w:tblPr/>
      <w:tcPr>
        <w:tcBorders>
          <w:top w:val="double" w:sz="6" w:space="0" w:themeTint="BF"/>
          <w:left w:val="single" w:sz="8" w:space="0" w:themeTint="BF"/>
          <w:bottom w:val="single" w:sz="8" w:space="0" w:themeTint="BF"/>
          <w:right w:val="single" w:sz="8" w:space="0"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themeTint="BF"/>
          <w:left w:val="single" w:sz="8" w:space="0" w:themeTint="BF"/>
          <w:bottom w:val="single" w:sz="8" w:space="0" w:themeTint="BF"/>
          <w:right w:val="single" w:sz="8" w:space="0" w:themeTint="BF"/>
          <w:insideH w:val="nil"/>
          <w:insideV w:val="nil"/>
        </w:tcBorders>
      </w:tcPr>
    </w:tblStylePr>
    <w:tblStylePr w:type="lastRow">
      <w:pPr>
        <w:spacing w:before="0" w:after="0" w:line="240" w:lineRule="auto"/>
      </w:pPr>
      <w:rPr>
        <w:b/>
        <w:bCs/>
      </w:rPr>
      <w:tblPr/>
      <w:tcPr>
        <w:tcBorders>
          <w:top w:val="double" w:sz="6" w:space="0" w:themeTint="BF"/>
          <w:left w:val="single" w:sz="8" w:space="0" w:themeTint="BF"/>
          <w:bottom w:val="single" w:sz="8" w:space="0" w:themeTint="BF"/>
          <w:right w:val="single" w:sz="8" w:space="0"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bottom w:val="single"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left w:val="nil"/>
          <w:bottom w:val="single" w:sz="18" w:space="0"/>
          <w:right w:val="nil"/>
          <w:insideH w:val="nil"/>
          <w:insideV w:val="nil"/>
        </w:tcBorders>
      </w:tcPr>
    </w:tblStylePr>
    <w:tblStylePr w:type="lastRow">
      <w:pPr>
        <w:spacing w:before="0" w:after="0" w:line="240" w:lineRule="auto"/>
      </w:pPr>
      <w:rPr/>
      <w:tblPr/>
      <w:tcPr>
        <w:tcBorders>
          <w:top w:val="double" w:sz="6" w:space="0"/>
          <w:left w:val="nil"/>
          <w:bottom w:val="single" w:sz="18" w:space="0"/>
          <w:right w:val="nil"/>
          <w:insideH w:val="nil"/>
          <w:insideV w:val="nil"/>
        </w:tcBorders>
      </w:tcPr>
    </w:tblStylePr>
    <w:tblStylePr w:type="firstCol">
      <w:rPr>
        <w:b/>
        <w:bCs/>
      </w:rPr>
      <w:tblPr/>
      <w:tcPr>
        <w:tcBorders>
          <w:top w:val="nil"/>
          <w:left w:val="nil"/>
          <w:bottom w:val="single" w:sz="18" w:space="0"/>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left w:val="nil"/>
          <w:bottom w:val="single" w:sz="18" w:space="0"/>
          <w:right w:val="nil"/>
          <w:insideH w:val="nil"/>
          <w:insideV w:val="nil"/>
        </w:tcBorders>
      </w:tcPr>
    </w:tblStylePr>
    <w:tblStylePr w:type="nwCell">
      <w:rPr/>
      <w:tblPr/>
      <w:tcPr>
        <w:tcBorders>
          <w:top w:val="single" w:sz="18" w:space="0"/>
          <w:left w:val="nil"/>
          <w:bottom w:val="single"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bottom w:val="single"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left w:val="nil"/>
          <w:bottom w:val="single" w:sz="18" w:space="0"/>
          <w:right w:val="nil"/>
          <w:insideH w:val="nil"/>
          <w:insideV w:val="nil"/>
        </w:tcBorders>
      </w:tcPr>
    </w:tblStylePr>
    <w:tblStylePr w:type="lastRow">
      <w:pPr>
        <w:spacing w:before="0" w:after="0" w:line="240" w:lineRule="auto"/>
      </w:pPr>
      <w:rPr/>
      <w:tblPr/>
      <w:tcPr>
        <w:tcBorders>
          <w:top w:val="double" w:sz="6" w:space="0"/>
          <w:left w:val="nil"/>
          <w:bottom w:val="single" w:sz="18" w:space="0"/>
          <w:right w:val="nil"/>
          <w:insideH w:val="nil"/>
          <w:insideV w:val="nil"/>
        </w:tcBorders>
      </w:tcPr>
    </w:tblStylePr>
    <w:tblStylePr w:type="firstCol">
      <w:rPr>
        <w:b/>
        <w:bCs/>
      </w:rPr>
      <w:tblPr/>
      <w:tcPr>
        <w:tcBorders>
          <w:top w:val="nil"/>
          <w:left w:val="nil"/>
          <w:bottom w:val="single" w:sz="18" w:space="0"/>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left w:val="nil"/>
          <w:bottom w:val="single" w:sz="18" w:space="0"/>
          <w:right w:val="nil"/>
          <w:insideH w:val="nil"/>
          <w:insideV w:val="nil"/>
        </w:tcBorders>
      </w:tcPr>
    </w:tblStylePr>
    <w:tblStylePr w:type="nwCell">
      <w:rPr/>
      <w:tblPr/>
      <w:tcPr>
        <w:tcBorders>
          <w:top w:val="single" w:sz="18" w:space="0"/>
          <w:left w:val="nil"/>
          <w:bottom w:val="single"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bottom w:val="single"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left w:val="nil"/>
          <w:bottom w:val="single" w:sz="18" w:space="0"/>
          <w:right w:val="nil"/>
          <w:insideH w:val="nil"/>
          <w:insideV w:val="nil"/>
        </w:tcBorders>
      </w:tcPr>
    </w:tblStylePr>
    <w:tblStylePr w:type="lastRow">
      <w:pPr>
        <w:spacing w:before="0" w:after="0" w:line="240" w:lineRule="auto"/>
      </w:pPr>
      <w:rPr/>
      <w:tblPr/>
      <w:tcPr>
        <w:tcBorders>
          <w:top w:val="double" w:sz="6" w:space="0"/>
          <w:left w:val="nil"/>
          <w:bottom w:val="single" w:sz="18" w:space="0"/>
          <w:right w:val="nil"/>
          <w:insideH w:val="nil"/>
          <w:insideV w:val="nil"/>
        </w:tcBorders>
      </w:tcPr>
    </w:tblStylePr>
    <w:tblStylePr w:type="firstCol">
      <w:rPr>
        <w:b/>
        <w:bCs/>
      </w:rPr>
      <w:tblPr/>
      <w:tcPr>
        <w:tcBorders>
          <w:top w:val="nil"/>
          <w:left w:val="nil"/>
          <w:bottom w:val="single" w:sz="18" w:space="0"/>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left w:val="nil"/>
          <w:bottom w:val="single" w:sz="18" w:space="0"/>
          <w:right w:val="nil"/>
          <w:insideH w:val="nil"/>
          <w:insideV w:val="nil"/>
        </w:tcBorders>
      </w:tcPr>
    </w:tblStylePr>
    <w:tblStylePr w:type="nwCell">
      <w:rPr/>
      <w:tblPr/>
      <w:tcPr>
        <w:tcBorders>
          <w:top w:val="single" w:sz="18" w:space="0"/>
          <w:left w:val="nil"/>
          <w:bottom w:val="single"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bottom w:val="single"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left w:val="nil"/>
          <w:bottom w:val="single" w:sz="18" w:space="0"/>
          <w:right w:val="nil"/>
          <w:insideH w:val="nil"/>
          <w:insideV w:val="nil"/>
        </w:tcBorders>
      </w:tcPr>
    </w:tblStylePr>
    <w:tblStylePr w:type="lastRow">
      <w:pPr>
        <w:spacing w:before="0" w:after="0" w:line="240" w:lineRule="auto"/>
      </w:pPr>
      <w:rPr/>
      <w:tblPr/>
      <w:tcPr>
        <w:tcBorders>
          <w:top w:val="double" w:sz="6" w:space="0"/>
          <w:left w:val="nil"/>
          <w:bottom w:val="single" w:sz="18" w:space="0"/>
          <w:right w:val="nil"/>
          <w:insideH w:val="nil"/>
          <w:insideV w:val="nil"/>
        </w:tcBorders>
      </w:tcPr>
    </w:tblStylePr>
    <w:tblStylePr w:type="firstCol">
      <w:rPr>
        <w:b/>
        <w:bCs/>
      </w:rPr>
      <w:tblPr/>
      <w:tcPr>
        <w:tcBorders>
          <w:top w:val="nil"/>
          <w:left w:val="nil"/>
          <w:bottom w:val="single" w:sz="18" w:space="0"/>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left w:val="nil"/>
          <w:bottom w:val="single" w:sz="18" w:space="0"/>
          <w:right w:val="nil"/>
          <w:insideH w:val="nil"/>
          <w:insideV w:val="nil"/>
        </w:tcBorders>
      </w:tcPr>
    </w:tblStylePr>
    <w:tblStylePr w:type="nwCell">
      <w:rPr/>
      <w:tblPr/>
      <w:tcPr>
        <w:tcBorders>
          <w:top w:val="single" w:sz="18" w:space="0"/>
          <w:left w:val="nil"/>
          <w:bottom w:val="single"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bottom w:val="single"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left w:val="nil"/>
          <w:bottom w:val="single" w:sz="18" w:space="0"/>
          <w:right w:val="nil"/>
          <w:insideH w:val="nil"/>
          <w:insideV w:val="nil"/>
        </w:tcBorders>
      </w:tcPr>
    </w:tblStylePr>
    <w:tblStylePr w:type="lastRow">
      <w:pPr>
        <w:spacing w:before="0" w:after="0" w:line="240" w:lineRule="auto"/>
      </w:pPr>
      <w:rPr/>
      <w:tblPr/>
      <w:tcPr>
        <w:tcBorders>
          <w:top w:val="double" w:sz="6" w:space="0"/>
          <w:left w:val="nil"/>
          <w:bottom w:val="single" w:sz="18" w:space="0"/>
          <w:right w:val="nil"/>
          <w:insideH w:val="nil"/>
          <w:insideV w:val="nil"/>
        </w:tcBorders>
      </w:tcPr>
    </w:tblStylePr>
    <w:tblStylePr w:type="firstCol">
      <w:rPr>
        <w:b/>
        <w:bCs/>
      </w:rPr>
      <w:tblPr/>
      <w:tcPr>
        <w:tcBorders>
          <w:top w:val="nil"/>
          <w:left w:val="nil"/>
          <w:bottom w:val="single" w:sz="18" w:space="0"/>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left w:val="nil"/>
          <w:bottom w:val="single" w:sz="18" w:space="0"/>
          <w:right w:val="nil"/>
          <w:insideH w:val="nil"/>
          <w:insideV w:val="nil"/>
        </w:tcBorders>
      </w:tcPr>
    </w:tblStylePr>
    <w:tblStylePr w:type="nwCell">
      <w:rPr/>
      <w:tblPr/>
      <w:tcPr>
        <w:tcBorders>
          <w:top w:val="single" w:sz="18" w:space="0"/>
          <w:left w:val="nil"/>
          <w:bottom w:val="single"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bottom w:val="single"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left w:val="nil"/>
          <w:bottom w:val="single" w:sz="18" w:space="0"/>
          <w:right w:val="nil"/>
          <w:insideH w:val="nil"/>
          <w:insideV w:val="nil"/>
        </w:tcBorders>
      </w:tcPr>
    </w:tblStylePr>
    <w:tblStylePr w:type="lastRow">
      <w:pPr>
        <w:spacing w:before="0" w:after="0" w:line="240" w:lineRule="auto"/>
      </w:pPr>
      <w:rPr/>
      <w:tblPr/>
      <w:tcPr>
        <w:tcBorders>
          <w:top w:val="double" w:sz="6" w:space="0"/>
          <w:left w:val="nil"/>
          <w:bottom w:val="single" w:sz="18" w:space="0"/>
          <w:right w:val="nil"/>
          <w:insideH w:val="nil"/>
          <w:insideV w:val="nil"/>
        </w:tcBorders>
      </w:tcPr>
    </w:tblStylePr>
    <w:tblStylePr w:type="firstCol">
      <w:rPr>
        <w:b/>
        <w:bCs/>
      </w:rPr>
      <w:tblPr/>
      <w:tcPr>
        <w:tcBorders>
          <w:top w:val="nil"/>
          <w:left w:val="nil"/>
          <w:bottom w:val="single" w:sz="18" w:space="0"/>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left w:val="nil"/>
          <w:bottom w:val="single" w:sz="18" w:space="0"/>
          <w:right w:val="nil"/>
          <w:insideH w:val="nil"/>
          <w:insideV w:val="nil"/>
        </w:tcBorders>
      </w:tcPr>
    </w:tblStylePr>
    <w:tblStylePr w:type="nwCell">
      <w:rPr/>
      <w:tblPr/>
      <w:tcPr>
        <w:tcBorders>
          <w:top w:val="single" w:sz="18" w:space="0"/>
          <w:left w:val="nil"/>
          <w:bottom w:val="single"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bottom w:val="single"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left w:val="nil"/>
          <w:bottom w:val="single" w:sz="18" w:space="0"/>
          <w:right w:val="nil"/>
          <w:insideH w:val="nil"/>
          <w:insideV w:val="nil"/>
        </w:tcBorders>
      </w:tcPr>
    </w:tblStylePr>
    <w:tblStylePr w:type="lastRow">
      <w:pPr>
        <w:spacing w:before="0" w:after="0" w:line="240" w:lineRule="auto"/>
      </w:pPr>
      <w:rPr/>
      <w:tblPr/>
      <w:tcPr>
        <w:tcBorders>
          <w:top w:val="double" w:sz="6" w:space="0"/>
          <w:left w:val="nil"/>
          <w:bottom w:val="single" w:sz="18" w:space="0"/>
          <w:right w:val="nil"/>
          <w:insideH w:val="nil"/>
          <w:insideV w:val="nil"/>
        </w:tcBorders>
      </w:tcPr>
    </w:tblStylePr>
    <w:tblStylePr w:type="firstCol">
      <w:rPr>
        <w:b/>
        <w:bCs/>
      </w:rPr>
      <w:tblPr/>
      <w:tcPr>
        <w:tcBorders>
          <w:top w:val="nil"/>
          <w:left w:val="nil"/>
          <w:bottom w:val="single" w:sz="18" w:space="0"/>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left w:val="nil"/>
          <w:bottom w:val="single" w:sz="18" w:space="0"/>
          <w:right w:val="nil"/>
          <w:insideH w:val="nil"/>
          <w:insideV w:val="nil"/>
        </w:tcBorders>
      </w:tcPr>
    </w:tblStylePr>
    <w:tblStylePr w:type="nwCell">
      <w:rPr/>
      <w:tblPr/>
      <w:tcPr>
        <w:tcBorders>
          <w:top w:val="single" w:sz="18" w:space="0"/>
          <w:left w:val="nil"/>
          <w:bottom w:val="single"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tcBorders>
      </w:tcPr>
    </w:tblStylePr>
    <w:tblStylePr w:type="lastRow">
      <w:rPr>
        <w:b/>
        <w:bCs/>
      </w:rPr>
      <w:tblPr/>
      <w:tcPr>
        <w:tcBorders>
          <w:top w:val="single" w:sz="8" w:space="0"/>
          <w:bottom w:val="single" w:sz="8" w:space="0"/>
        </w:tcBorders>
      </w:tcPr>
    </w:tblStylePr>
    <w:tblStylePr w:type="firstCol">
      <w:rPr>
        <w:b/>
        <w:bCs/>
      </w:rPr>
    </w:tblStylePr>
    <w:tblStylePr w:type="lastCol">
      <w:rPr>
        <w:b/>
        <w:bCs/>
      </w:rPr>
      <w:tblPr/>
      <w:tcPr>
        <w:tcBorders>
          <w:top w:val="single" w:sz="8" w:space="0"/>
          <w:bottom w:val="single" w:sz="8" w:space="0"/>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tcBorders>
      </w:tcPr>
    </w:tblStylePr>
    <w:tblStylePr w:type="lastRow">
      <w:rPr>
        <w:b/>
        <w:bCs/>
      </w:rPr>
      <w:tblPr/>
      <w:tcPr>
        <w:tcBorders>
          <w:top w:val="single" w:sz="8" w:space="0"/>
          <w:bottom w:val="single" w:sz="8" w:space="0"/>
        </w:tcBorders>
      </w:tcPr>
    </w:tblStylePr>
    <w:tblStylePr w:type="firstCol">
      <w:rPr>
        <w:b/>
        <w:bCs/>
      </w:rPr>
    </w:tblStylePr>
    <w:tblStylePr w:type="lastCol">
      <w:rPr>
        <w:b/>
        <w:bCs/>
      </w:rPr>
      <w:tblPr/>
      <w:tcPr>
        <w:tcBorders>
          <w:top w:val="single" w:sz="8" w:space="0"/>
          <w:bottom w:val="single" w:sz="8" w:space="0"/>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tcBorders>
      </w:tcPr>
    </w:tblStylePr>
    <w:tblStylePr w:type="lastRow">
      <w:rPr>
        <w:b/>
        <w:bCs/>
      </w:rPr>
      <w:tblPr/>
      <w:tcPr>
        <w:tcBorders>
          <w:top w:val="single" w:sz="8" w:space="0"/>
          <w:bottom w:val="single" w:sz="8" w:space="0"/>
        </w:tcBorders>
      </w:tcPr>
    </w:tblStylePr>
    <w:tblStylePr w:type="firstCol">
      <w:rPr>
        <w:b/>
        <w:bCs/>
      </w:rPr>
    </w:tblStylePr>
    <w:tblStylePr w:type="lastCol">
      <w:rPr>
        <w:b/>
        <w:bCs/>
      </w:rPr>
      <w:tblPr/>
      <w:tcPr>
        <w:tcBorders>
          <w:top w:val="single" w:sz="8" w:space="0"/>
          <w:bottom w:val="single" w:sz="8" w:space="0"/>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tcBorders>
      </w:tcPr>
    </w:tblStylePr>
    <w:tblStylePr w:type="lastRow">
      <w:rPr>
        <w:b/>
        <w:bCs/>
      </w:rPr>
      <w:tblPr/>
      <w:tcPr>
        <w:tcBorders>
          <w:top w:val="single" w:sz="8" w:space="0"/>
          <w:bottom w:val="single" w:sz="8" w:space="0"/>
        </w:tcBorders>
      </w:tcPr>
    </w:tblStylePr>
    <w:tblStylePr w:type="firstCol">
      <w:rPr>
        <w:b/>
        <w:bCs/>
      </w:rPr>
    </w:tblStylePr>
    <w:tblStylePr w:type="lastCol">
      <w:rPr>
        <w:b/>
        <w:bCs/>
      </w:rPr>
      <w:tblPr/>
      <w:tcPr>
        <w:tcBorders>
          <w:top w:val="single" w:sz="8" w:space="0"/>
          <w:bottom w:val="single" w:sz="8" w:space="0"/>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tcBorders>
      </w:tcPr>
    </w:tblStylePr>
    <w:tblStylePr w:type="lastRow">
      <w:rPr>
        <w:b/>
        <w:bCs/>
      </w:rPr>
      <w:tblPr/>
      <w:tcPr>
        <w:tcBorders>
          <w:top w:val="single" w:sz="8" w:space="0"/>
          <w:bottom w:val="single" w:sz="8" w:space="0"/>
        </w:tcBorders>
      </w:tcPr>
    </w:tblStylePr>
    <w:tblStylePr w:type="firstCol">
      <w:rPr>
        <w:b/>
        <w:bCs/>
      </w:rPr>
    </w:tblStylePr>
    <w:tblStylePr w:type="lastCol">
      <w:rPr>
        <w:b/>
        <w:bCs/>
      </w:rPr>
      <w:tblPr/>
      <w:tcPr>
        <w:tcBorders>
          <w:top w:val="single" w:sz="8" w:space="0"/>
          <w:bottom w:val="single" w:sz="8" w:space="0"/>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tcBorders>
      </w:tcPr>
    </w:tblStylePr>
    <w:tblStylePr w:type="lastRow">
      <w:rPr>
        <w:b/>
        <w:bCs/>
      </w:rPr>
      <w:tblPr/>
      <w:tcPr>
        <w:tcBorders>
          <w:top w:val="single" w:sz="8" w:space="0"/>
          <w:bottom w:val="single" w:sz="8" w:space="0"/>
        </w:tcBorders>
      </w:tcPr>
    </w:tblStylePr>
    <w:tblStylePr w:type="firstCol">
      <w:rPr>
        <w:b/>
        <w:bCs/>
      </w:rPr>
    </w:tblStylePr>
    <w:tblStylePr w:type="lastCol">
      <w:rPr>
        <w:b/>
        <w:bCs/>
      </w:rPr>
      <w:tblPr/>
      <w:tcPr>
        <w:tcBorders>
          <w:top w:val="single" w:sz="8" w:space="0"/>
          <w:bottom w:val="single" w:sz="8" w:space="0"/>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tblPr>
      <w:tblStyleRowBandSize w:val="1"/>
      <w:tblStyleColBandSize w:val="1"/>
      <w:tblInd w:w="0" w:type="dxa"/>
      <w:tblBorders>
        <w:top w:val="single" w:sz="8" w:space="0"/>
        <w:bottom w:val="single" w:sz="8" w:space="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tcBorders>
      </w:tcPr>
    </w:tblStylePr>
    <w:tblStylePr w:type="lastRow">
      <w:rPr>
        <w:b/>
        <w:bCs/>
      </w:rPr>
      <w:tblPr/>
      <w:tcPr>
        <w:tcBorders>
          <w:top w:val="single" w:sz="8" w:space="0"/>
          <w:bottom w:val="single" w:sz="8" w:space="0"/>
        </w:tcBorders>
      </w:tcPr>
    </w:tblStylePr>
    <w:tblStylePr w:type="firstCol">
      <w:rPr>
        <w:b/>
        <w:bCs/>
      </w:rPr>
    </w:tblStylePr>
    <w:tblStylePr w:type="lastCol">
      <w:rPr>
        <w:b/>
        <w:bCs/>
      </w:rPr>
      <w:tblPr/>
      <w:tcPr>
        <w:tcBorders>
          <w:top w:val="single" w:sz="8" w:space="0"/>
          <w:bottom w:val="single" w:sz="8" w:space="0"/>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rPr>
        <w:sz w:val="24"/>
        <w:szCs w:val="24"/>
      </w:rPr>
      <w:tblPr/>
      <w:tcPr>
        <w:tcBorders>
          <w:top w:val="nil"/>
          <w:left w:val="nil"/>
          <w:bottom w:val="single" w:sz="24" w:space="0"/>
          <w:right w:val="nil"/>
          <w:insideH w:val="nil"/>
          <w:insideV w:val="nil"/>
        </w:tcBorders>
      </w:tcPr>
    </w:tblStylePr>
    <w:tblStylePr w:type="lastRow">
      <w:tblPr/>
      <w:tcPr>
        <w:tcBorders>
          <w:top w:val="single" w:sz="8" w:space="0"/>
          <w:left w:val="nil"/>
          <w:bottom w:val="nil"/>
          <w:right w:val="nil"/>
          <w:insideH w:val="nil"/>
          <w:insideV w:val="nil"/>
        </w:tcBorders>
      </w:tcPr>
    </w:tblStylePr>
    <w:tblStylePr w:type="firstCol">
      <w:tblPr/>
      <w:tcPr>
        <w:tcBorders>
          <w:top w:val="nil"/>
          <w:left w:val="nil"/>
          <w:bottom w:val="nil"/>
          <w:right w:val="single" w:sz="8" w:space="0"/>
          <w:insideH w:val="nil"/>
          <w:insideV w:val="nil"/>
        </w:tcBorders>
      </w:tcPr>
    </w:tblStylePr>
    <w:tblStylePr w:type="lastCol">
      <w:tblPr/>
      <w:tcPr>
        <w:tcBorders>
          <w:top w:val="nil"/>
          <w:left w:val="single" w:sz="8" w:space="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rPr>
        <w:sz w:val="24"/>
        <w:szCs w:val="24"/>
      </w:rPr>
      <w:tblPr/>
      <w:tcPr>
        <w:tcBorders>
          <w:top w:val="nil"/>
          <w:left w:val="nil"/>
          <w:bottom w:val="single" w:sz="24" w:space="0"/>
          <w:right w:val="nil"/>
          <w:insideH w:val="nil"/>
          <w:insideV w:val="nil"/>
        </w:tcBorders>
      </w:tcPr>
    </w:tblStylePr>
    <w:tblStylePr w:type="lastRow">
      <w:tblPr/>
      <w:tcPr>
        <w:tcBorders>
          <w:top w:val="single" w:sz="8" w:space="0"/>
          <w:left w:val="nil"/>
          <w:bottom w:val="nil"/>
          <w:right w:val="nil"/>
          <w:insideH w:val="nil"/>
          <w:insideV w:val="nil"/>
        </w:tcBorders>
      </w:tcPr>
    </w:tblStylePr>
    <w:tblStylePr w:type="firstCol">
      <w:tblPr/>
      <w:tcPr>
        <w:tcBorders>
          <w:top w:val="nil"/>
          <w:left w:val="nil"/>
          <w:bottom w:val="nil"/>
          <w:right w:val="single" w:sz="8" w:space="0"/>
          <w:insideH w:val="nil"/>
          <w:insideV w:val="nil"/>
        </w:tcBorders>
      </w:tcPr>
    </w:tblStylePr>
    <w:tblStylePr w:type="lastCol">
      <w:tblPr/>
      <w:tcPr>
        <w:tcBorders>
          <w:top w:val="nil"/>
          <w:left w:val="single" w:sz="8" w:space="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rPr>
        <w:sz w:val="24"/>
        <w:szCs w:val="24"/>
      </w:rPr>
      <w:tblPr/>
      <w:tcPr>
        <w:tcBorders>
          <w:top w:val="nil"/>
          <w:left w:val="nil"/>
          <w:bottom w:val="single" w:sz="24" w:space="0"/>
          <w:right w:val="nil"/>
          <w:insideH w:val="nil"/>
          <w:insideV w:val="nil"/>
        </w:tcBorders>
      </w:tcPr>
    </w:tblStylePr>
    <w:tblStylePr w:type="lastRow">
      <w:tblPr/>
      <w:tcPr>
        <w:tcBorders>
          <w:top w:val="single" w:sz="8" w:space="0"/>
          <w:left w:val="nil"/>
          <w:bottom w:val="nil"/>
          <w:right w:val="nil"/>
          <w:insideH w:val="nil"/>
          <w:insideV w:val="nil"/>
        </w:tcBorders>
      </w:tcPr>
    </w:tblStylePr>
    <w:tblStylePr w:type="firstCol">
      <w:tblPr/>
      <w:tcPr>
        <w:tcBorders>
          <w:top w:val="nil"/>
          <w:left w:val="nil"/>
          <w:bottom w:val="nil"/>
          <w:right w:val="single" w:sz="8" w:space="0"/>
          <w:insideH w:val="nil"/>
          <w:insideV w:val="nil"/>
        </w:tcBorders>
      </w:tcPr>
    </w:tblStylePr>
    <w:tblStylePr w:type="lastCol">
      <w:tblPr/>
      <w:tcPr>
        <w:tcBorders>
          <w:top w:val="nil"/>
          <w:left w:val="single" w:sz="8" w:space="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rPr>
        <w:sz w:val="24"/>
        <w:szCs w:val="24"/>
      </w:rPr>
      <w:tblPr/>
      <w:tcPr>
        <w:tcBorders>
          <w:top w:val="nil"/>
          <w:left w:val="nil"/>
          <w:bottom w:val="single" w:sz="24" w:space="0"/>
          <w:right w:val="nil"/>
          <w:insideH w:val="nil"/>
          <w:insideV w:val="nil"/>
        </w:tcBorders>
      </w:tcPr>
    </w:tblStylePr>
    <w:tblStylePr w:type="lastRow">
      <w:tblPr/>
      <w:tcPr>
        <w:tcBorders>
          <w:top w:val="single" w:sz="8" w:space="0"/>
          <w:left w:val="nil"/>
          <w:bottom w:val="nil"/>
          <w:right w:val="nil"/>
          <w:insideH w:val="nil"/>
          <w:insideV w:val="nil"/>
        </w:tcBorders>
      </w:tcPr>
    </w:tblStylePr>
    <w:tblStylePr w:type="firstCol">
      <w:tblPr/>
      <w:tcPr>
        <w:tcBorders>
          <w:top w:val="nil"/>
          <w:left w:val="nil"/>
          <w:bottom w:val="nil"/>
          <w:right w:val="single" w:sz="8" w:space="0"/>
          <w:insideH w:val="nil"/>
          <w:insideV w:val="nil"/>
        </w:tcBorders>
      </w:tcPr>
    </w:tblStylePr>
    <w:tblStylePr w:type="lastCol">
      <w:tblPr/>
      <w:tcPr>
        <w:tcBorders>
          <w:top w:val="nil"/>
          <w:left w:val="single" w:sz="8" w:space="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rPr>
        <w:sz w:val="24"/>
        <w:szCs w:val="24"/>
      </w:rPr>
      <w:tblPr/>
      <w:tcPr>
        <w:tcBorders>
          <w:top w:val="nil"/>
          <w:left w:val="nil"/>
          <w:bottom w:val="single" w:sz="24" w:space="0"/>
          <w:right w:val="nil"/>
          <w:insideH w:val="nil"/>
          <w:insideV w:val="nil"/>
        </w:tcBorders>
      </w:tcPr>
    </w:tblStylePr>
    <w:tblStylePr w:type="lastRow">
      <w:tblPr/>
      <w:tcPr>
        <w:tcBorders>
          <w:top w:val="single" w:sz="8" w:space="0"/>
          <w:left w:val="nil"/>
          <w:bottom w:val="nil"/>
          <w:right w:val="nil"/>
          <w:insideH w:val="nil"/>
          <w:insideV w:val="nil"/>
        </w:tcBorders>
      </w:tcPr>
    </w:tblStylePr>
    <w:tblStylePr w:type="firstCol">
      <w:tblPr/>
      <w:tcPr>
        <w:tcBorders>
          <w:top w:val="nil"/>
          <w:left w:val="nil"/>
          <w:bottom w:val="nil"/>
          <w:right w:val="single" w:sz="8" w:space="0"/>
          <w:insideH w:val="nil"/>
          <w:insideV w:val="nil"/>
        </w:tcBorders>
      </w:tcPr>
    </w:tblStylePr>
    <w:tblStylePr w:type="lastCol">
      <w:tblPr/>
      <w:tcPr>
        <w:tcBorders>
          <w:top w:val="nil"/>
          <w:left w:val="single" w:sz="8" w:space="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rPr>
        <w:sz w:val="24"/>
        <w:szCs w:val="24"/>
      </w:rPr>
      <w:tblPr/>
      <w:tcPr>
        <w:tcBorders>
          <w:top w:val="nil"/>
          <w:left w:val="nil"/>
          <w:bottom w:val="single" w:sz="24" w:space="0"/>
          <w:right w:val="nil"/>
          <w:insideH w:val="nil"/>
          <w:insideV w:val="nil"/>
        </w:tcBorders>
      </w:tcPr>
    </w:tblStylePr>
    <w:tblStylePr w:type="lastRow">
      <w:tblPr/>
      <w:tcPr>
        <w:tcBorders>
          <w:top w:val="single" w:sz="8" w:space="0"/>
          <w:left w:val="nil"/>
          <w:bottom w:val="nil"/>
          <w:right w:val="nil"/>
          <w:insideH w:val="nil"/>
          <w:insideV w:val="nil"/>
        </w:tcBorders>
      </w:tcPr>
    </w:tblStylePr>
    <w:tblStylePr w:type="firstCol">
      <w:tblPr/>
      <w:tcPr>
        <w:tcBorders>
          <w:top w:val="nil"/>
          <w:left w:val="nil"/>
          <w:bottom w:val="nil"/>
          <w:right w:val="single" w:sz="8" w:space="0"/>
          <w:insideH w:val="nil"/>
          <w:insideV w:val="nil"/>
        </w:tcBorders>
      </w:tcPr>
    </w:tblStylePr>
    <w:tblStylePr w:type="lastCol">
      <w:tblPr/>
      <w:tcPr>
        <w:tcBorders>
          <w:top w:val="nil"/>
          <w:left w:val="single" w:sz="8" w:space="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tblBorders>
      <w:tblCellMar>
        <w:top w:w="0" w:type="dxa"/>
        <w:left w:w="108" w:type="dxa"/>
        <w:bottom w:w="0" w:type="dxa"/>
        <w:right w:w="108" w:type="dxa"/>
      </w:tblCellMar>
    </w:tblPr>
    <w:tblStylePr w:type="firstRow">
      <w:rPr>
        <w:sz w:val="24"/>
        <w:szCs w:val="24"/>
      </w:rPr>
      <w:tblPr/>
      <w:tcPr>
        <w:tcBorders>
          <w:top w:val="nil"/>
          <w:left w:val="nil"/>
          <w:bottom w:val="single" w:sz="24" w:space="0"/>
          <w:right w:val="nil"/>
          <w:insideH w:val="nil"/>
          <w:insideV w:val="nil"/>
        </w:tcBorders>
      </w:tcPr>
    </w:tblStylePr>
    <w:tblStylePr w:type="lastRow">
      <w:tblPr/>
      <w:tcPr>
        <w:tcBorders>
          <w:top w:val="single" w:sz="8" w:space="0"/>
          <w:left w:val="nil"/>
          <w:bottom w:val="nil"/>
          <w:right w:val="nil"/>
          <w:insideH w:val="nil"/>
          <w:insideV w:val="nil"/>
        </w:tcBorders>
      </w:tcPr>
    </w:tblStylePr>
    <w:tblStylePr w:type="firstCol">
      <w:tblPr/>
      <w:tcPr>
        <w:tcBorders>
          <w:top w:val="nil"/>
          <w:left w:val="nil"/>
          <w:bottom w:val="nil"/>
          <w:right w:val="single" w:sz="8" w:space="0"/>
          <w:insideH w:val="nil"/>
          <w:insideV w:val="nil"/>
        </w:tcBorders>
      </w:tcPr>
    </w:tblStylePr>
    <w:tblStylePr w:type="lastCol">
      <w:tblPr/>
      <w:tcPr>
        <w:tcBorders>
          <w:top w:val="nil"/>
          <w:left w:val="single" w:sz="8" w:space="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insideV w:val="single" w:sz="8" w:space="0"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insideV w:val="single" w:sz="8" w:space="0"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insideV w:val="single" w:sz="8" w:space="0"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insideV w:val="single" w:sz="8" w:space="0"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insideV w:val="single" w:sz="8" w:space="0"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insideV w:val="single" w:sz="8" w:space="0"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themeTint="BF"/>
        <w:left w:val="single" w:sz="8" w:space="0" w:themeTint="BF"/>
        <w:bottom w:val="single" w:sz="8" w:space="0" w:themeTint="BF"/>
        <w:right w:val="single" w:sz="8" w:space="0" w:themeTint="BF"/>
        <w:insideH w:val="single" w:sz="8" w:space="0" w:themeTint="BF"/>
        <w:insideV w:val="single" w:sz="8" w:space="0"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cPr/>
    <w:tblStylePr w:type="firstRow">
      <w:rPr>
        <w:b/>
        <w:bCs/>
      </w:rPr>
      <w:tblPr/>
      <w:tcPr/>
    </w:tblStylePr>
    <w:tblStylePr w:type="lastRow">
      <w:rPr>
        <w:b/>
        <w:bCs/>
      </w:rPr>
      <w:tblPr/>
      <w:tcPr>
        <w:tcBorders>
          <w:top w:val="single" w:sz="12" w:space="0"/>
          <w:left w:val="nil"/>
          <w:bottom w:val="nil"/>
          <w:right w:val="nil"/>
          <w:insideH w:val="nil"/>
          <w:insideV w:val="nil"/>
        </w:tcBorders>
      </w:tcPr>
    </w:tblStylePr>
    <w:tblStylePr w:type="firstCol">
      <w:rPr>
        <w:b/>
        <w:bCs/>
      </w:rPr>
      <w:tblPr/>
      <w:tcPr>
        <w:tcBorders>
          <w:top w:val="nil"/>
          <w:left w:val="nil"/>
          <w:bottom w:val="nil"/>
          <w:right w:val="nil"/>
          <w:insideH w:val="nil"/>
          <w:insideV w:val="nil"/>
        </w:tcBorders>
      </w:tcPr>
    </w:tblStylePr>
    <w:tblStylePr w:type="lastCol">
      <w:rPr>
        <w:b w:val="0"/>
        <w:bCs w:val="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insideV w:val="single" w:sz="6" w:space="0"/>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cPr/>
    <w:tblStylePr w:type="firstRow">
      <w:rPr>
        <w:b/>
        <w:bCs/>
      </w:rPr>
      <w:tblPr/>
      <w:tcPr/>
    </w:tblStylePr>
    <w:tblStylePr w:type="lastRow">
      <w:rPr>
        <w:b/>
        <w:bCs/>
      </w:rPr>
      <w:tblPr/>
      <w:tcPr>
        <w:tcBorders>
          <w:top w:val="single" w:sz="12" w:space="0"/>
          <w:left w:val="nil"/>
          <w:bottom w:val="nil"/>
          <w:right w:val="nil"/>
          <w:insideH w:val="nil"/>
          <w:insideV w:val="nil"/>
        </w:tcBorders>
      </w:tcPr>
    </w:tblStylePr>
    <w:tblStylePr w:type="firstCol">
      <w:rPr>
        <w:b/>
        <w:bCs/>
      </w:rPr>
      <w:tblPr/>
      <w:tcPr>
        <w:tcBorders>
          <w:top w:val="nil"/>
          <w:left w:val="nil"/>
          <w:bottom w:val="nil"/>
          <w:right w:val="nil"/>
          <w:insideH w:val="nil"/>
          <w:insideV w:val="nil"/>
        </w:tcBorders>
      </w:tcPr>
    </w:tblStylePr>
    <w:tblStylePr w:type="lastCol">
      <w:rPr>
        <w:b w:val="0"/>
        <w:bCs w:val="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insideV w:val="single" w:sz="6" w:space="0"/>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cPr/>
    <w:tblStylePr w:type="firstRow">
      <w:rPr>
        <w:b/>
        <w:bCs/>
      </w:rPr>
      <w:tblPr/>
      <w:tcPr/>
    </w:tblStylePr>
    <w:tblStylePr w:type="lastRow">
      <w:rPr>
        <w:b/>
        <w:bCs/>
      </w:rPr>
      <w:tblPr/>
      <w:tcPr>
        <w:tcBorders>
          <w:top w:val="single" w:sz="12" w:space="0"/>
          <w:left w:val="nil"/>
          <w:bottom w:val="nil"/>
          <w:right w:val="nil"/>
          <w:insideH w:val="nil"/>
          <w:insideV w:val="nil"/>
        </w:tcBorders>
      </w:tcPr>
    </w:tblStylePr>
    <w:tblStylePr w:type="firstCol">
      <w:rPr>
        <w:b/>
        <w:bCs/>
      </w:rPr>
      <w:tblPr/>
      <w:tcPr>
        <w:tcBorders>
          <w:top w:val="nil"/>
          <w:left w:val="nil"/>
          <w:bottom w:val="nil"/>
          <w:right w:val="nil"/>
          <w:insideH w:val="nil"/>
          <w:insideV w:val="nil"/>
        </w:tcBorders>
      </w:tcPr>
    </w:tblStylePr>
    <w:tblStylePr w:type="lastCol">
      <w:rPr>
        <w:b w:val="0"/>
        <w:bCs w:val="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insideV w:val="single" w:sz="6" w:space="0"/>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cPr/>
    <w:tblStylePr w:type="firstRow">
      <w:rPr>
        <w:b/>
        <w:bCs/>
      </w:rPr>
      <w:tblPr/>
      <w:tcPr/>
    </w:tblStylePr>
    <w:tblStylePr w:type="lastRow">
      <w:rPr>
        <w:b/>
        <w:bCs/>
      </w:rPr>
      <w:tblPr/>
      <w:tcPr>
        <w:tcBorders>
          <w:top w:val="single" w:sz="12" w:space="0"/>
          <w:left w:val="nil"/>
          <w:bottom w:val="nil"/>
          <w:right w:val="nil"/>
          <w:insideH w:val="nil"/>
          <w:insideV w:val="nil"/>
        </w:tcBorders>
      </w:tcPr>
    </w:tblStylePr>
    <w:tblStylePr w:type="firstCol">
      <w:rPr>
        <w:b/>
        <w:bCs/>
      </w:rPr>
      <w:tblPr/>
      <w:tcPr>
        <w:tcBorders>
          <w:top w:val="nil"/>
          <w:left w:val="nil"/>
          <w:bottom w:val="nil"/>
          <w:right w:val="nil"/>
          <w:insideH w:val="nil"/>
          <w:insideV w:val="nil"/>
        </w:tcBorders>
      </w:tcPr>
    </w:tblStylePr>
    <w:tblStylePr w:type="lastCol">
      <w:rPr>
        <w:b w:val="0"/>
        <w:bCs w:val="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insideV w:val="single" w:sz="6" w:space="0"/>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cPr/>
    <w:tblStylePr w:type="firstRow">
      <w:rPr>
        <w:b/>
        <w:bCs/>
      </w:rPr>
      <w:tblPr/>
      <w:tcPr/>
    </w:tblStylePr>
    <w:tblStylePr w:type="lastRow">
      <w:rPr>
        <w:b/>
        <w:bCs/>
      </w:rPr>
      <w:tblPr/>
      <w:tcPr>
        <w:tcBorders>
          <w:top w:val="single" w:sz="12" w:space="0"/>
          <w:left w:val="nil"/>
          <w:bottom w:val="nil"/>
          <w:right w:val="nil"/>
          <w:insideH w:val="nil"/>
          <w:insideV w:val="nil"/>
        </w:tcBorders>
      </w:tcPr>
    </w:tblStylePr>
    <w:tblStylePr w:type="firstCol">
      <w:rPr>
        <w:b/>
        <w:bCs/>
      </w:rPr>
      <w:tblPr/>
      <w:tcPr>
        <w:tcBorders>
          <w:top w:val="nil"/>
          <w:left w:val="nil"/>
          <w:bottom w:val="nil"/>
          <w:right w:val="nil"/>
          <w:insideH w:val="nil"/>
          <w:insideV w:val="nil"/>
        </w:tcBorders>
      </w:tcPr>
    </w:tblStylePr>
    <w:tblStylePr w:type="lastCol">
      <w:rPr>
        <w:b w:val="0"/>
        <w:bCs w:val="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insideV w:val="single" w:sz="6" w:space="0"/>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cPr/>
    <w:tblStylePr w:type="firstRow">
      <w:rPr>
        <w:b/>
        <w:bCs/>
      </w:rPr>
      <w:tblPr/>
      <w:tcPr/>
    </w:tblStylePr>
    <w:tblStylePr w:type="lastRow">
      <w:rPr>
        <w:b/>
        <w:bCs/>
      </w:rPr>
      <w:tblPr/>
      <w:tcPr>
        <w:tcBorders>
          <w:top w:val="single" w:sz="12" w:space="0"/>
          <w:left w:val="nil"/>
          <w:bottom w:val="nil"/>
          <w:right w:val="nil"/>
          <w:insideH w:val="nil"/>
          <w:insideV w:val="nil"/>
        </w:tcBorders>
      </w:tcPr>
    </w:tblStylePr>
    <w:tblStylePr w:type="firstCol">
      <w:rPr>
        <w:b/>
        <w:bCs/>
      </w:rPr>
      <w:tblPr/>
      <w:tcPr>
        <w:tcBorders>
          <w:top w:val="nil"/>
          <w:left w:val="nil"/>
          <w:bottom w:val="nil"/>
          <w:right w:val="nil"/>
          <w:insideH w:val="nil"/>
          <w:insideV w:val="nil"/>
        </w:tcBorders>
      </w:tcPr>
    </w:tblStylePr>
    <w:tblStylePr w:type="lastCol">
      <w:rPr>
        <w:b w:val="0"/>
        <w:bCs w:val="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insideV w:val="single" w:sz="6" w:space="0"/>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Ind w:w="0" w:type="dxa"/>
      <w:tblBorders>
        <w:top w:val="single" w:sz="8" w:space="0"/>
        <w:left w:val="single" w:sz="8" w:space="0"/>
        <w:bottom w:val="single" w:sz="8" w:space="0"/>
        <w:right w:val="single" w:sz="8" w:space="0"/>
        <w:insideH w:val="single" w:sz="8" w:space="0"/>
        <w:insideV w:val="single" w:sz="8" w:space="0"/>
      </w:tblBorders>
      <w:tblCellMar>
        <w:top w:w="0" w:type="dxa"/>
        <w:left w:w="108" w:type="dxa"/>
        <w:bottom w:w="0" w:type="dxa"/>
        <w:right w:w="108" w:type="dxa"/>
      </w:tblCellMar>
    </w:tblPr>
    <w:tcPr/>
    <w:tblStylePr w:type="firstRow">
      <w:rPr>
        <w:b/>
        <w:bCs/>
      </w:rPr>
      <w:tblPr/>
      <w:tcPr/>
    </w:tblStylePr>
    <w:tblStylePr w:type="lastRow">
      <w:rPr>
        <w:b/>
        <w:bCs/>
      </w:rPr>
      <w:tblPr/>
      <w:tcPr>
        <w:tcBorders>
          <w:top w:val="single" w:sz="12" w:space="0"/>
          <w:left w:val="nil"/>
          <w:bottom w:val="nil"/>
          <w:right w:val="nil"/>
          <w:insideH w:val="nil"/>
          <w:insideV w:val="nil"/>
        </w:tcBorders>
      </w:tcPr>
    </w:tblStylePr>
    <w:tblStylePr w:type="firstCol">
      <w:rPr>
        <w:b/>
        <w:bCs/>
      </w:rPr>
      <w:tblPr/>
      <w:tcPr>
        <w:tcBorders>
          <w:top w:val="nil"/>
          <w:left w:val="nil"/>
          <w:bottom w:val="nil"/>
          <w:right w:val="nil"/>
          <w:insideH w:val="nil"/>
          <w:insideV w:val="nil"/>
        </w:tcBorders>
      </w:tcPr>
    </w:tblStylePr>
    <w:tblStylePr w:type="lastCol">
      <w:rPr>
        <w:b w:val="0"/>
        <w:bCs w:val="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insideV w:val="single" w:sz="6" w:space="0"/>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6" w:space="0"/>
        <w:insideV w:val="single" w:sz="6" w:space="0"/>
      </w:tblBorders>
      <w:tblCellMar>
        <w:top w:w="0" w:type="dxa"/>
        <w:left w:w="108" w:type="dxa"/>
        <w:bottom w:w="0" w:type="dxa"/>
        <w:right w:w="108" w:type="dxa"/>
      </w:tblCellMar>
    </w:tblPr>
    <w:tcPr/>
    <w:tblStylePr w:type="firstRow">
      <w:rPr>
        <w:b/>
        <w:bCs/>
        <w:i w:val="0"/>
        <w:iCs w:val="0"/>
      </w:rPr>
      <w:tblPr/>
      <w:tcPr>
        <w:tcBorders>
          <w:top w:val="single" w:sz="8" w:space="0"/>
          <w:left w:val="single" w:sz="8" w:space="0"/>
          <w:bottom w:val="single" w:sz="24" w:space="0"/>
          <w:right w:val="single" w:sz="8" w:space="0"/>
          <w:insideH w:val="nil"/>
          <w:insideV w:val="single" w:sz="8" w:space="0"/>
        </w:tcBorders>
      </w:tcPr>
    </w:tblStylePr>
    <w:tblStylePr w:type="lastRow">
      <w:rPr>
        <w:b/>
        <w:bCs/>
        <w:i w:val="0"/>
        <w:iCs w:val="0"/>
      </w:rPr>
      <w:tblPr/>
      <w:tcPr>
        <w:tcBorders>
          <w:top w:val="single" w:sz="24" w:space="0"/>
          <w:left w:val="single" w:sz="8" w:space="0"/>
          <w:bottom w:val="single" w:sz="8" w:space="0"/>
          <w:right w:val="single" w:sz="8" w:space="0"/>
          <w:insideH w:val="nil"/>
          <w:insideV w:val="single" w:sz="8" w:space="0"/>
        </w:tcBorders>
      </w:tcPr>
    </w:tblStylePr>
    <w:tblStylePr w:type="firstCol">
      <w:rPr>
        <w:b/>
        <w:bCs/>
        <w:i w:val="0"/>
        <w:iCs w:val="0"/>
      </w:rPr>
      <w:tblPr/>
      <w:tcPr>
        <w:tcBorders>
          <w:left w:val="single" w:sz="8" w:space="0"/>
          <w:right w:val="single" w:sz="24" w:space="0"/>
          <w:insideH w:val="nil"/>
          <w:insideV w:val="nil"/>
        </w:tcBorders>
      </w:tcPr>
    </w:tblStylePr>
    <w:tblStylePr w:type="lastCol">
      <w:rPr>
        <w:b/>
        <w:bCs/>
        <w:i w:val="0"/>
        <w:iCs w:val="0"/>
      </w:rPr>
      <w:tblPr/>
      <w:tcPr>
        <w:tcBorders>
          <w:top w:val="nil"/>
          <w:left w:val="single" w:sz="24" w:space="0"/>
          <w:bottom w:val="nil"/>
          <w:right w:val="nil"/>
          <w:insideH w:val="nil"/>
          <w:insideV w:val="nil"/>
        </w:tcBorders>
      </w:tcPr>
    </w:tblStylePr>
    <w:tblStylePr w:type="band1Vert">
      <w:tblPr/>
      <w:tcPr>
        <w:tcBorders>
          <w:top w:val="single" w:sz="8" w:space="0"/>
          <w:left w:val="single" w:sz="8" w:space="0"/>
          <w:bottom w:val="single" w:sz="8" w:space="0"/>
          <w:right w:val="single" w:sz="8" w:space="0"/>
          <w:insideH w:val="nil"/>
          <w:insideV w:val="nil"/>
        </w:tcBorders>
      </w:tcPr>
    </w:tblStylePr>
    <w:tblStylePr w:type="band1Horz">
      <w:tblPr/>
      <w:tcPr>
        <w:tcBorders>
          <w:top w:val="single" w:sz="8" w:space="0"/>
          <w:left w:val="single" w:sz="8" w:space="0"/>
          <w:bottom w:val="single" w:sz="8" w:space="0"/>
          <w:right w:val="single" w:sz="8" w:space="0"/>
          <w:insideH w:val="single" w:sz="8" w:space="0"/>
          <w:insideV w:val="single" w:sz="8" w:space="0"/>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6" w:space="0"/>
        <w:insideV w:val="single" w:sz="6" w:space="0"/>
      </w:tblBorders>
      <w:tblCellMar>
        <w:top w:w="0" w:type="dxa"/>
        <w:left w:w="108" w:type="dxa"/>
        <w:bottom w:w="0" w:type="dxa"/>
        <w:right w:w="108" w:type="dxa"/>
      </w:tblCellMar>
    </w:tblPr>
    <w:tcPr/>
    <w:tblStylePr w:type="firstRow">
      <w:rPr>
        <w:b/>
        <w:bCs/>
        <w:i w:val="0"/>
        <w:iCs w:val="0"/>
      </w:rPr>
      <w:tblPr/>
      <w:tcPr>
        <w:tcBorders>
          <w:top w:val="single" w:sz="8" w:space="0"/>
          <w:left w:val="single" w:sz="8" w:space="0"/>
          <w:bottom w:val="single" w:sz="24" w:space="0"/>
          <w:right w:val="single" w:sz="8" w:space="0"/>
          <w:insideH w:val="nil"/>
          <w:insideV w:val="single" w:sz="8" w:space="0"/>
        </w:tcBorders>
      </w:tcPr>
    </w:tblStylePr>
    <w:tblStylePr w:type="lastRow">
      <w:rPr>
        <w:b/>
        <w:bCs/>
        <w:i w:val="0"/>
        <w:iCs w:val="0"/>
      </w:rPr>
      <w:tblPr/>
      <w:tcPr>
        <w:tcBorders>
          <w:top w:val="single" w:sz="24" w:space="0"/>
          <w:left w:val="single" w:sz="8" w:space="0"/>
          <w:bottom w:val="single" w:sz="8" w:space="0"/>
          <w:right w:val="single" w:sz="8" w:space="0"/>
          <w:insideH w:val="nil"/>
          <w:insideV w:val="single" w:sz="8" w:space="0"/>
        </w:tcBorders>
      </w:tcPr>
    </w:tblStylePr>
    <w:tblStylePr w:type="firstCol">
      <w:rPr>
        <w:b/>
        <w:bCs/>
        <w:i w:val="0"/>
        <w:iCs w:val="0"/>
      </w:rPr>
      <w:tblPr/>
      <w:tcPr>
        <w:tcBorders>
          <w:left w:val="single" w:sz="8" w:space="0"/>
          <w:right w:val="single" w:sz="24" w:space="0"/>
          <w:insideH w:val="nil"/>
          <w:insideV w:val="nil"/>
        </w:tcBorders>
      </w:tcPr>
    </w:tblStylePr>
    <w:tblStylePr w:type="lastCol">
      <w:rPr>
        <w:b/>
        <w:bCs/>
        <w:i w:val="0"/>
        <w:iCs w:val="0"/>
      </w:rPr>
      <w:tblPr/>
      <w:tcPr>
        <w:tcBorders>
          <w:top w:val="nil"/>
          <w:left w:val="single" w:sz="24" w:space="0"/>
          <w:bottom w:val="nil"/>
          <w:right w:val="nil"/>
          <w:insideH w:val="nil"/>
          <w:insideV w:val="nil"/>
        </w:tcBorders>
      </w:tcPr>
    </w:tblStylePr>
    <w:tblStylePr w:type="band1Vert">
      <w:tblPr/>
      <w:tcPr>
        <w:tcBorders>
          <w:top w:val="single" w:sz="8" w:space="0"/>
          <w:left w:val="single" w:sz="8" w:space="0"/>
          <w:bottom w:val="single" w:sz="8" w:space="0"/>
          <w:right w:val="single" w:sz="8" w:space="0"/>
          <w:insideH w:val="nil"/>
          <w:insideV w:val="nil"/>
        </w:tcBorders>
      </w:tcPr>
    </w:tblStylePr>
    <w:tblStylePr w:type="band1Horz">
      <w:tblPr/>
      <w:tcPr>
        <w:tcBorders>
          <w:top w:val="single" w:sz="8" w:space="0"/>
          <w:left w:val="single" w:sz="8" w:space="0"/>
          <w:bottom w:val="single" w:sz="8" w:space="0"/>
          <w:right w:val="single" w:sz="8" w:space="0"/>
          <w:insideH w:val="single" w:sz="8" w:space="0"/>
          <w:insideV w:val="single" w:sz="8" w:space="0"/>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6" w:space="0"/>
        <w:insideV w:val="single" w:sz="6" w:space="0"/>
      </w:tblBorders>
      <w:tblCellMar>
        <w:top w:w="0" w:type="dxa"/>
        <w:left w:w="108" w:type="dxa"/>
        <w:bottom w:w="0" w:type="dxa"/>
        <w:right w:w="108" w:type="dxa"/>
      </w:tblCellMar>
    </w:tblPr>
    <w:tcPr/>
    <w:tblStylePr w:type="firstRow">
      <w:rPr>
        <w:b/>
        <w:bCs/>
        <w:i w:val="0"/>
        <w:iCs w:val="0"/>
      </w:rPr>
      <w:tblPr/>
      <w:tcPr>
        <w:tcBorders>
          <w:top w:val="single" w:sz="8" w:space="0"/>
          <w:left w:val="single" w:sz="8" w:space="0"/>
          <w:bottom w:val="single" w:sz="24" w:space="0"/>
          <w:right w:val="single" w:sz="8" w:space="0"/>
          <w:insideH w:val="nil"/>
          <w:insideV w:val="single" w:sz="8" w:space="0"/>
        </w:tcBorders>
      </w:tcPr>
    </w:tblStylePr>
    <w:tblStylePr w:type="lastRow">
      <w:rPr>
        <w:b/>
        <w:bCs/>
        <w:i w:val="0"/>
        <w:iCs w:val="0"/>
      </w:rPr>
      <w:tblPr/>
      <w:tcPr>
        <w:tcBorders>
          <w:top w:val="single" w:sz="24" w:space="0"/>
          <w:left w:val="single" w:sz="8" w:space="0"/>
          <w:bottom w:val="single" w:sz="8" w:space="0"/>
          <w:right w:val="single" w:sz="8" w:space="0"/>
          <w:insideH w:val="nil"/>
          <w:insideV w:val="single" w:sz="8" w:space="0"/>
        </w:tcBorders>
      </w:tcPr>
    </w:tblStylePr>
    <w:tblStylePr w:type="firstCol">
      <w:rPr>
        <w:b/>
        <w:bCs/>
        <w:i w:val="0"/>
        <w:iCs w:val="0"/>
      </w:rPr>
      <w:tblPr/>
      <w:tcPr>
        <w:tcBorders>
          <w:left w:val="single" w:sz="8" w:space="0"/>
          <w:right w:val="single" w:sz="24" w:space="0"/>
          <w:insideH w:val="nil"/>
          <w:insideV w:val="nil"/>
        </w:tcBorders>
      </w:tcPr>
    </w:tblStylePr>
    <w:tblStylePr w:type="lastCol">
      <w:rPr>
        <w:b/>
        <w:bCs/>
        <w:i w:val="0"/>
        <w:iCs w:val="0"/>
      </w:rPr>
      <w:tblPr/>
      <w:tcPr>
        <w:tcBorders>
          <w:top w:val="nil"/>
          <w:left w:val="single" w:sz="24" w:space="0"/>
          <w:bottom w:val="nil"/>
          <w:right w:val="nil"/>
          <w:insideH w:val="nil"/>
          <w:insideV w:val="nil"/>
        </w:tcBorders>
      </w:tcPr>
    </w:tblStylePr>
    <w:tblStylePr w:type="band1Vert">
      <w:tblPr/>
      <w:tcPr>
        <w:tcBorders>
          <w:top w:val="single" w:sz="8" w:space="0"/>
          <w:left w:val="single" w:sz="8" w:space="0"/>
          <w:bottom w:val="single" w:sz="8" w:space="0"/>
          <w:right w:val="single" w:sz="8" w:space="0"/>
          <w:insideH w:val="nil"/>
          <w:insideV w:val="nil"/>
        </w:tcBorders>
      </w:tcPr>
    </w:tblStylePr>
    <w:tblStylePr w:type="band1Horz">
      <w:tblPr/>
      <w:tcPr>
        <w:tcBorders>
          <w:top w:val="single" w:sz="8" w:space="0"/>
          <w:left w:val="single" w:sz="8" w:space="0"/>
          <w:bottom w:val="single" w:sz="8" w:space="0"/>
          <w:right w:val="single" w:sz="8" w:space="0"/>
          <w:insideH w:val="single" w:sz="8" w:space="0"/>
          <w:insideV w:val="single" w:sz="8" w:space="0"/>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6" w:space="0"/>
        <w:insideV w:val="single" w:sz="6" w:space="0"/>
      </w:tblBorders>
      <w:tblCellMar>
        <w:top w:w="0" w:type="dxa"/>
        <w:left w:w="108" w:type="dxa"/>
        <w:bottom w:w="0" w:type="dxa"/>
        <w:right w:w="108" w:type="dxa"/>
      </w:tblCellMar>
    </w:tblPr>
    <w:tcPr/>
    <w:tblStylePr w:type="firstRow">
      <w:rPr>
        <w:b/>
        <w:bCs/>
        <w:i w:val="0"/>
        <w:iCs w:val="0"/>
      </w:rPr>
      <w:tblPr/>
      <w:tcPr>
        <w:tcBorders>
          <w:top w:val="single" w:sz="8" w:space="0"/>
          <w:left w:val="single" w:sz="8" w:space="0"/>
          <w:bottom w:val="single" w:sz="24" w:space="0"/>
          <w:right w:val="single" w:sz="8" w:space="0"/>
          <w:insideH w:val="nil"/>
          <w:insideV w:val="single" w:sz="8" w:space="0"/>
        </w:tcBorders>
      </w:tcPr>
    </w:tblStylePr>
    <w:tblStylePr w:type="lastRow">
      <w:rPr>
        <w:b/>
        <w:bCs/>
        <w:i w:val="0"/>
        <w:iCs w:val="0"/>
      </w:rPr>
      <w:tblPr/>
      <w:tcPr>
        <w:tcBorders>
          <w:top w:val="single" w:sz="24" w:space="0"/>
          <w:left w:val="single" w:sz="8" w:space="0"/>
          <w:bottom w:val="single" w:sz="8" w:space="0"/>
          <w:right w:val="single" w:sz="8" w:space="0"/>
          <w:insideH w:val="nil"/>
          <w:insideV w:val="single" w:sz="8" w:space="0"/>
        </w:tcBorders>
      </w:tcPr>
    </w:tblStylePr>
    <w:tblStylePr w:type="firstCol">
      <w:rPr>
        <w:b/>
        <w:bCs/>
        <w:i w:val="0"/>
        <w:iCs w:val="0"/>
      </w:rPr>
      <w:tblPr/>
      <w:tcPr>
        <w:tcBorders>
          <w:left w:val="single" w:sz="8" w:space="0"/>
          <w:right w:val="single" w:sz="24" w:space="0"/>
          <w:insideH w:val="nil"/>
          <w:insideV w:val="nil"/>
        </w:tcBorders>
      </w:tcPr>
    </w:tblStylePr>
    <w:tblStylePr w:type="lastCol">
      <w:rPr>
        <w:b/>
        <w:bCs/>
        <w:i w:val="0"/>
        <w:iCs w:val="0"/>
      </w:rPr>
      <w:tblPr/>
      <w:tcPr>
        <w:tcBorders>
          <w:top w:val="nil"/>
          <w:left w:val="single" w:sz="24" w:space="0"/>
          <w:bottom w:val="nil"/>
          <w:right w:val="nil"/>
          <w:insideH w:val="nil"/>
          <w:insideV w:val="nil"/>
        </w:tcBorders>
      </w:tcPr>
    </w:tblStylePr>
    <w:tblStylePr w:type="band1Vert">
      <w:tblPr/>
      <w:tcPr>
        <w:tcBorders>
          <w:top w:val="single" w:sz="8" w:space="0"/>
          <w:left w:val="single" w:sz="8" w:space="0"/>
          <w:bottom w:val="single" w:sz="8" w:space="0"/>
          <w:right w:val="single" w:sz="8" w:space="0"/>
          <w:insideH w:val="nil"/>
          <w:insideV w:val="nil"/>
        </w:tcBorders>
      </w:tcPr>
    </w:tblStylePr>
    <w:tblStylePr w:type="band1Horz">
      <w:tblPr/>
      <w:tcPr>
        <w:tcBorders>
          <w:top w:val="single" w:sz="8" w:space="0"/>
          <w:left w:val="single" w:sz="8" w:space="0"/>
          <w:bottom w:val="single" w:sz="8" w:space="0"/>
          <w:right w:val="single" w:sz="8" w:space="0"/>
          <w:insideH w:val="single" w:sz="8" w:space="0"/>
          <w:insideV w:val="single" w:sz="8" w:space="0"/>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6" w:space="0"/>
        <w:insideV w:val="single" w:sz="6" w:space="0"/>
      </w:tblBorders>
      <w:tblCellMar>
        <w:top w:w="0" w:type="dxa"/>
        <w:left w:w="108" w:type="dxa"/>
        <w:bottom w:w="0" w:type="dxa"/>
        <w:right w:w="108" w:type="dxa"/>
      </w:tblCellMar>
    </w:tblPr>
    <w:tcPr/>
    <w:tblStylePr w:type="firstRow">
      <w:rPr>
        <w:b/>
        <w:bCs/>
        <w:i w:val="0"/>
        <w:iCs w:val="0"/>
      </w:rPr>
      <w:tblPr/>
      <w:tcPr>
        <w:tcBorders>
          <w:top w:val="single" w:sz="8" w:space="0"/>
          <w:left w:val="single" w:sz="8" w:space="0"/>
          <w:bottom w:val="single" w:sz="24" w:space="0"/>
          <w:right w:val="single" w:sz="8" w:space="0"/>
          <w:insideH w:val="nil"/>
          <w:insideV w:val="single" w:sz="8" w:space="0"/>
        </w:tcBorders>
      </w:tcPr>
    </w:tblStylePr>
    <w:tblStylePr w:type="lastRow">
      <w:rPr>
        <w:b/>
        <w:bCs/>
        <w:i w:val="0"/>
        <w:iCs w:val="0"/>
      </w:rPr>
      <w:tblPr/>
      <w:tcPr>
        <w:tcBorders>
          <w:top w:val="single" w:sz="24" w:space="0"/>
          <w:left w:val="single" w:sz="8" w:space="0"/>
          <w:bottom w:val="single" w:sz="8" w:space="0"/>
          <w:right w:val="single" w:sz="8" w:space="0"/>
          <w:insideH w:val="nil"/>
          <w:insideV w:val="single" w:sz="8" w:space="0"/>
        </w:tcBorders>
      </w:tcPr>
    </w:tblStylePr>
    <w:tblStylePr w:type="firstCol">
      <w:rPr>
        <w:b/>
        <w:bCs/>
        <w:i w:val="0"/>
        <w:iCs w:val="0"/>
      </w:rPr>
      <w:tblPr/>
      <w:tcPr>
        <w:tcBorders>
          <w:left w:val="single" w:sz="8" w:space="0"/>
          <w:right w:val="single" w:sz="24" w:space="0"/>
          <w:insideH w:val="nil"/>
          <w:insideV w:val="nil"/>
        </w:tcBorders>
      </w:tcPr>
    </w:tblStylePr>
    <w:tblStylePr w:type="lastCol">
      <w:rPr>
        <w:b/>
        <w:bCs/>
        <w:i w:val="0"/>
        <w:iCs w:val="0"/>
      </w:rPr>
      <w:tblPr/>
      <w:tcPr>
        <w:tcBorders>
          <w:top w:val="nil"/>
          <w:left w:val="single" w:sz="24" w:space="0"/>
          <w:bottom w:val="nil"/>
          <w:right w:val="nil"/>
          <w:insideH w:val="nil"/>
          <w:insideV w:val="nil"/>
        </w:tcBorders>
      </w:tcPr>
    </w:tblStylePr>
    <w:tblStylePr w:type="band1Vert">
      <w:tblPr/>
      <w:tcPr>
        <w:tcBorders>
          <w:top w:val="single" w:sz="8" w:space="0"/>
          <w:left w:val="single" w:sz="8" w:space="0"/>
          <w:bottom w:val="single" w:sz="8" w:space="0"/>
          <w:right w:val="single" w:sz="8" w:space="0"/>
          <w:insideH w:val="nil"/>
          <w:insideV w:val="nil"/>
        </w:tcBorders>
      </w:tcPr>
    </w:tblStylePr>
    <w:tblStylePr w:type="band1Horz">
      <w:tblPr/>
      <w:tcPr>
        <w:tcBorders>
          <w:top w:val="single" w:sz="8" w:space="0"/>
          <w:left w:val="single" w:sz="8" w:space="0"/>
          <w:bottom w:val="single" w:sz="8" w:space="0"/>
          <w:right w:val="single" w:sz="8" w:space="0"/>
          <w:insideH w:val="single" w:sz="8" w:space="0"/>
          <w:insideV w:val="single" w:sz="8" w:space="0"/>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6" w:space="0"/>
        <w:insideV w:val="single" w:sz="6" w:space="0"/>
      </w:tblBorders>
      <w:tblCellMar>
        <w:top w:w="0" w:type="dxa"/>
        <w:left w:w="108" w:type="dxa"/>
        <w:bottom w:w="0" w:type="dxa"/>
        <w:right w:w="108" w:type="dxa"/>
      </w:tblCellMar>
    </w:tblPr>
    <w:tcPr/>
    <w:tblStylePr w:type="firstRow">
      <w:rPr>
        <w:b/>
        <w:bCs/>
        <w:i w:val="0"/>
        <w:iCs w:val="0"/>
      </w:rPr>
      <w:tblPr/>
      <w:tcPr>
        <w:tcBorders>
          <w:top w:val="single" w:sz="8" w:space="0"/>
          <w:left w:val="single" w:sz="8" w:space="0"/>
          <w:bottom w:val="single" w:sz="24" w:space="0"/>
          <w:right w:val="single" w:sz="8" w:space="0"/>
          <w:insideH w:val="nil"/>
          <w:insideV w:val="single" w:sz="8" w:space="0"/>
        </w:tcBorders>
      </w:tcPr>
    </w:tblStylePr>
    <w:tblStylePr w:type="lastRow">
      <w:rPr>
        <w:b/>
        <w:bCs/>
        <w:i w:val="0"/>
        <w:iCs w:val="0"/>
      </w:rPr>
      <w:tblPr/>
      <w:tcPr>
        <w:tcBorders>
          <w:top w:val="single" w:sz="24" w:space="0"/>
          <w:left w:val="single" w:sz="8" w:space="0"/>
          <w:bottom w:val="single" w:sz="8" w:space="0"/>
          <w:right w:val="single" w:sz="8" w:space="0"/>
          <w:insideH w:val="nil"/>
          <w:insideV w:val="single" w:sz="8" w:space="0"/>
        </w:tcBorders>
      </w:tcPr>
    </w:tblStylePr>
    <w:tblStylePr w:type="firstCol">
      <w:rPr>
        <w:b/>
        <w:bCs/>
        <w:i w:val="0"/>
        <w:iCs w:val="0"/>
      </w:rPr>
      <w:tblPr/>
      <w:tcPr>
        <w:tcBorders>
          <w:left w:val="single" w:sz="8" w:space="0"/>
          <w:right w:val="single" w:sz="24" w:space="0"/>
          <w:insideH w:val="nil"/>
          <w:insideV w:val="nil"/>
        </w:tcBorders>
      </w:tcPr>
    </w:tblStylePr>
    <w:tblStylePr w:type="lastCol">
      <w:rPr>
        <w:b/>
        <w:bCs/>
        <w:i w:val="0"/>
        <w:iCs w:val="0"/>
      </w:rPr>
      <w:tblPr/>
      <w:tcPr>
        <w:tcBorders>
          <w:top w:val="nil"/>
          <w:left w:val="single" w:sz="24" w:space="0"/>
          <w:bottom w:val="nil"/>
          <w:right w:val="nil"/>
          <w:insideH w:val="nil"/>
          <w:insideV w:val="nil"/>
        </w:tcBorders>
      </w:tcPr>
    </w:tblStylePr>
    <w:tblStylePr w:type="band1Vert">
      <w:tblPr/>
      <w:tcPr>
        <w:tcBorders>
          <w:top w:val="single" w:sz="8" w:space="0"/>
          <w:left w:val="single" w:sz="8" w:space="0"/>
          <w:bottom w:val="single" w:sz="8" w:space="0"/>
          <w:right w:val="single" w:sz="8" w:space="0"/>
          <w:insideH w:val="nil"/>
          <w:insideV w:val="nil"/>
        </w:tcBorders>
      </w:tcPr>
    </w:tblStylePr>
    <w:tblStylePr w:type="band1Horz">
      <w:tblPr/>
      <w:tcPr>
        <w:tcBorders>
          <w:top w:val="single" w:sz="8" w:space="0"/>
          <w:left w:val="single" w:sz="8" w:space="0"/>
          <w:bottom w:val="single" w:sz="8" w:space="0"/>
          <w:right w:val="single" w:sz="8" w:space="0"/>
          <w:insideH w:val="single" w:sz="8" w:space="0"/>
          <w:insideV w:val="single" w:sz="8" w:space="0"/>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left w:val="single" w:sz="8" w:space="0"/>
        <w:bottom w:val="single" w:sz="8" w:space="0"/>
        <w:right w:val="single" w:sz="8" w:space="0"/>
        <w:insideH w:val="single" w:sz="6" w:space="0"/>
        <w:insideV w:val="single" w:sz="6" w:space="0"/>
      </w:tblBorders>
      <w:tblCellMar>
        <w:top w:w="0" w:type="dxa"/>
        <w:left w:w="108" w:type="dxa"/>
        <w:bottom w:w="0" w:type="dxa"/>
        <w:right w:w="108" w:type="dxa"/>
      </w:tblCellMar>
    </w:tblPr>
    <w:tcPr/>
    <w:tblStylePr w:type="firstRow">
      <w:rPr>
        <w:b/>
        <w:bCs/>
        <w:i w:val="0"/>
        <w:iCs w:val="0"/>
      </w:rPr>
      <w:tblPr/>
      <w:tcPr>
        <w:tcBorders>
          <w:top w:val="single" w:sz="8" w:space="0"/>
          <w:left w:val="single" w:sz="8" w:space="0"/>
          <w:bottom w:val="single" w:sz="24" w:space="0"/>
          <w:right w:val="single" w:sz="8" w:space="0"/>
          <w:insideH w:val="nil"/>
          <w:insideV w:val="single" w:sz="8" w:space="0"/>
        </w:tcBorders>
      </w:tcPr>
    </w:tblStylePr>
    <w:tblStylePr w:type="lastRow">
      <w:rPr>
        <w:b/>
        <w:bCs/>
        <w:i w:val="0"/>
        <w:iCs w:val="0"/>
      </w:rPr>
      <w:tblPr/>
      <w:tcPr>
        <w:tcBorders>
          <w:top w:val="single" w:sz="24" w:space="0"/>
          <w:left w:val="single" w:sz="8" w:space="0"/>
          <w:bottom w:val="single" w:sz="8" w:space="0"/>
          <w:right w:val="single" w:sz="8" w:space="0"/>
          <w:insideH w:val="nil"/>
          <w:insideV w:val="single" w:sz="8" w:space="0"/>
        </w:tcBorders>
      </w:tcPr>
    </w:tblStylePr>
    <w:tblStylePr w:type="firstCol">
      <w:rPr>
        <w:b/>
        <w:bCs/>
        <w:i w:val="0"/>
        <w:iCs w:val="0"/>
      </w:rPr>
      <w:tblPr/>
      <w:tcPr>
        <w:tcBorders>
          <w:left w:val="single" w:sz="8" w:space="0"/>
          <w:right w:val="single" w:sz="24" w:space="0"/>
          <w:insideH w:val="nil"/>
          <w:insideV w:val="nil"/>
        </w:tcBorders>
      </w:tcPr>
    </w:tblStylePr>
    <w:tblStylePr w:type="lastCol">
      <w:rPr>
        <w:b/>
        <w:bCs/>
        <w:i w:val="0"/>
        <w:iCs w:val="0"/>
      </w:rPr>
      <w:tblPr/>
      <w:tcPr>
        <w:tcBorders>
          <w:top w:val="nil"/>
          <w:left w:val="single" w:sz="24" w:space="0"/>
          <w:bottom w:val="nil"/>
          <w:right w:val="nil"/>
          <w:insideH w:val="nil"/>
          <w:insideV w:val="nil"/>
        </w:tcBorders>
      </w:tcPr>
    </w:tblStylePr>
    <w:tblStylePr w:type="band1Vert">
      <w:tblPr/>
      <w:tcPr>
        <w:tcBorders>
          <w:top w:val="single" w:sz="8" w:space="0"/>
          <w:left w:val="single" w:sz="8" w:space="0"/>
          <w:bottom w:val="single" w:sz="8" w:space="0"/>
          <w:right w:val="single" w:sz="8" w:space="0"/>
          <w:insideH w:val="nil"/>
          <w:insideV w:val="nil"/>
        </w:tcBorders>
      </w:tcPr>
    </w:tblStylePr>
    <w:tblStylePr w:type="band1Horz">
      <w:tblPr/>
      <w:tcPr>
        <w:tcBorders>
          <w:top w:val="single" w:sz="8" w:space="0"/>
          <w:left w:val="single" w:sz="8" w:space="0"/>
          <w:bottom w:val="single" w:sz="8" w:space="0"/>
          <w:right w:val="single" w:sz="8" w:space="0"/>
          <w:insideH w:val="single" w:sz="8" w:space="0"/>
          <w:insideV w:val="single" w:sz="8" w:space="0"/>
        </w:tcBorders>
      </w:tcPr>
    </w:tblStylePr>
  </w:style>
  <w:style w:type="table" w:styleId="DarkList">
    <w:name w:val="Dark List"/>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right w:val="nil"/>
          <w:insideH w:val="nil"/>
          <w:insideV w:val="nil"/>
        </w:tcBorders>
      </w:tcPr>
    </w:tblStylePr>
    <w:tblStylePr w:type="lastRow">
      <w:tblPr/>
      <w:tcPr>
        <w:tcBorders>
          <w:top w:val="single" w:sz="18" w:space="0"/>
          <w:left w:val="nil"/>
          <w:bottom w:val="nil"/>
          <w:right w:val="nil"/>
          <w:insideH w:val="nil"/>
          <w:insideV w:val="nil"/>
        </w:tcBorders>
      </w:tcPr>
    </w:tblStylePr>
    <w:tblStylePr w:type="firstCol">
      <w:tblPr/>
      <w:tcPr>
        <w:tcBorders>
          <w:top w:val="nil"/>
          <w:left w:val="nil"/>
          <w:bottom w:val="nil"/>
          <w:right w:val="single" w:sz="18" w:space="0"/>
          <w:insideH w:val="nil"/>
          <w:insideV w:val="nil"/>
        </w:tcBorders>
      </w:tcPr>
    </w:tblStylePr>
    <w:tblStylePr w:type="lastCol">
      <w:tblPr/>
      <w:tcPr>
        <w:tcBorders>
          <w:top w:val="nil"/>
          <w:left w:val="single" w:sz="18" w:space="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right w:val="nil"/>
          <w:insideH w:val="nil"/>
          <w:insideV w:val="nil"/>
        </w:tcBorders>
      </w:tcPr>
    </w:tblStylePr>
    <w:tblStylePr w:type="lastRow">
      <w:tblPr/>
      <w:tcPr>
        <w:tcBorders>
          <w:top w:val="single" w:sz="18" w:space="0"/>
          <w:left w:val="nil"/>
          <w:bottom w:val="nil"/>
          <w:right w:val="nil"/>
          <w:insideH w:val="nil"/>
          <w:insideV w:val="nil"/>
        </w:tcBorders>
      </w:tcPr>
    </w:tblStylePr>
    <w:tblStylePr w:type="firstCol">
      <w:tblPr/>
      <w:tcPr>
        <w:tcBorders>
          <w:top w:val="nil"/>
          <w:left w:val="nil"/>
          <w:bottom w:val="nil"/>
          <w:right w:val="single" w:sz="18" w:space="0"/>
          <w:insideH w:val="nil"/>
          <w:insideV w:val="nil"/>
        </w:tcBorders>
      </w:tcPr>
    </w:tblStylePr>
    <w:tblStylePr w:type="lastCol">
      <w:tblPr/>
      <w:tcPr>
        <w:tcBorders>
          <w:top w:val="nil"/>
          <w:left w:val="single" w:sz="18" w:space="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right w:val="nil"/>
          <w:insideH w:val="nil"/>
          <w:insideV w:val="nil"/>
        </w:tcBorders>
      </w:tcPr>
    </w:tblStylePr>
    <w:tblStylePr w:type="lastRow">
      <w:tblPr/>
      <w:tcPr>
        <w:tcBorders>
          <w:top w:val="single" w:sz="18" w:space="0"/>
          <w:left w:val="nil"/>
          <w:bottom w:val="nil"/>
          <w:right w:val="nil"/>
          <w:insideH w:val="nil"/>
          <w:insideV w:val="nil"/>
        </w:tcBorders>
      </w:tcPr>
    </w:tblStylePr>
    <w:tblStylePr w:type="firstCol">
      <w:tblPr/>
      <w:tcPr>
        <w:tcBorders>
          <w:top w:val="nil"/>
          <w:left w:val="nil"/>
          <w:bottom w:val="nil"/>
          <w:right w:val="single" w:sz="18" w:space="0"/>
          <w:insideH w:val="nil"/>
          <w:insideV w:val="nil"/>
        </w:tcBorders>
      </w:tcPr>
    </w:tblStylePr>
    <w:tblStylePr w:type="lastCol">
      <w:tblPr/>
      <w:tcPr>
        <w:tcBorders>
          <w:top w:val="nil"/>
          <w:left w:val="single" w:sz="18" w:space="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right w:val="nil"/>
          <w:insideH w:val="nil"/>
          <w:insideV w:val="nil"/>
        </w:tcBorders>
      </w:tcPr>
    </w:tblStylePr>
    <w:tblStylePr w:type="lastRow">
      <w:tblPr/>
      <w:tcPr>
        <w:tcBorders>
          <w:top w:val="single" w:sz="18" w:space="0"/>
          <w:left w:val="nil"/>
          <w:bottom w:val="nil"/>
          <w:right w:val="nil"/>
          <w:insideH w:val="nil"/>
          <w:insideV w:val="nil"/>
        </w:tcBorders>
      </w:tcPr>
    </w:tblStylePr>
    <w:tblStylePr w:type="firstCol">
      <w:tblPr/>
      <w:tcPr>
        <w:tcBorders>
          <w:top w:val="nil"/>
          <w:left w:val="nil"/>
          <w:bottom w:val="nil"/>
          <w:right w:val="single" w:sz="18" w:space="0"/>
          <w:insideH w:val="nil"/>
          <w:insideV w:val="nil"/>
        </w:tcBorders>
      </w:tcPr>
    </w:tblStylePr>
    <w:tblStylePr w:type="lastCol">
      <w:tblPr/>
      <w:tcPr>
        <w:tcBorders>
          <w:top w:val="nil"/>
          <w:left w:val="single" w:sz="18" w:space="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right w:val="nil"/>
          <w:insideH w:val="nil"/>
          <w:insideV w:val="nil"/>
        </w:tcBorders>
      </w:tcPr>
    </w:tblStylePr>
    <w:tblStylePr w:type="lastRow">
      <w:tblPr/>
      <w:tcPr>
        <w:tcBorders>
          <w:top w:val="single" w:sz="18" w:space="0"/>
          <w:left w:val="nil"/>
          <w:bottom w:val="nil"/>
          <w:right w:val="nil"/>
          <w:insideH w:val="nil"/>
          <w:insideV w:val="nil"/>
        </w:tcBorders>
      </w:tcPr>
    </w:tblStylePr>
    <w:tblStylePr w:type="firstCol">
      <w:tblPr/>
      <w:tcPr>
        <w:tcBorders>
          <w:top w:val="nil"/>
          <w:left w:val="nil"/>
          <w:bottom w:val="nil"/>
          <w:right w:val="single" w:sz="18" w:space="0"/>
          <w:insideH w:val="nil"/>
          <w:insideV w:val="nil"/>
        </w:tcBorders>
      </w:tcPr>
    </w:tblStylePr>
    <w:tblStylePr w:type="lastCol">
      <w:tblPr/>
      <w:tcPr>
        <w:tcBorders>
          <w:top w:val="nil"/>
          <w:left w:val="single" w:sz="18" w:space="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right w:val="nil"/>
          <w:insideH w:val="nil"/>
          <w:insideV w:val="nil"/>
        </w:tcBorders>
      </w:tcPr>
    </w:tblStylePr>
    <w:tblStylePr w:type="lastRow">
      <w:tblPr/>
      <w:tcPr>
        <w:tcBorders>
          <w:top w:val="single" w:sz="18" w:space="0"/>
          <w:left w:val="nil"/>
          <w:bottom w:val="nil"/>
          <w:right w:val="nil"/>
          <w:insideH w:val="nil"/>
          <w:insideV w:val="nil"/>
        </w:tcBorders>
      </w:tcPr>
    </w:tblStylePr>
    <w:tblStylePr w:type="firstCol">
      <w:tblPr/>
      <w:tcPr>
        <w:tcBorders>
          <w:top w:val="nil"/>
          <w:left w:val="nil"/>
          <w:bottom w:val="nil"/>
          <w:right w:val="single" w:sz="18" w:space="0"/>
          <w:insideH w:val="nil"/>
          <w:insideV w:val="nil"/>
        </w:tcBorders>
      </w:tcPr>
    </w:tblStylePr>
    <w:tblStylePr w:type="lastCol">
      <w:tblPr/>
      <w:tcPr>
        <w:tcBorders>
          <w:top w:val="nil"/>
          <w:left w:val="single" w:sz="18" w:space="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right w:val="nil"/>
          <w:insideH w:val="nil"/>
          <w:insideV w:val="nil"/>
        </w:tcBorders>
      </w:tcPr>
    </w:tblStylePr>
    <w:tblStylePr w:type="lastRow">
      <w:tblPr/>
      <w:tcPr>
        <w:tcBorders>
          <w:top w:val="single" w:sz="18" w:space="0"/>
          <w:left w:val="nil"/>
          <w:bottom w:val="nil"/>
          <w:right w:val="nil"/>
          <w:insideH w:val="nil"/>
          <w:insideV w:val="nil"/>
        </w:tcBorders>
      </w:tcPr>
    </w:tblStylePr>
    <w:tblStylePr w:type="firstCol">
      <w:tblPr/>
      <w:tcPr>
        <w:tcBorders>
          <w:top w:val="nil"/>
          <w:left w:val="nil"/>
          <w:bottom w:val="nil"/>
          <w:right w:val="single" w:sz="18" w:space="0"/>
          <w:insideH w:val="nil"/>
          <w:insideV w:val="nil"/>
        </w:tcBorders>
      </w:tcPr>
    </w:tblStylePr>
    <w:tblStylePr w:type="lastCol">
      <w:tblPr/>
      <w:tcPr>
        <w:tcBorders>
          <w:top w:val="nil"/>
          <w:left w:val="single" w:sz="18" w:space="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tblPr>
      <w:tblStyleRowBandSize w:val="1"/>
      <w:tblStyleColBandSize w:val="1"/>
      <w:tblInd w:w="0" w:type="dxa"/>
      <w:tblBorders>
        <w:top w:val="single" w:sz="2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tcPr/>
    <w:tblStylePr w:type="firstRow">
      <w:rPr>
        <w:b/>
        <w:bCs/>
      </w:rPr>
      <w:tblPr/>
      <w:tcPr>
        <w:tcBorders>
          <w:top w:val="nil"/>
          <w:left w:val="nil"/>
          <w:bottom w:val="single" w:sz="24" w:space="0"/>
          <w:right w:val="nil"/>
          <w:insideH w:val="nil"/>
          <w:insideV w:val="nil"/>
        </w:tcBorders>
      </w:tcPr>
    </w:tblStylePr>
    <w:tblStylePr w:type="lastRow">
      <w:rPr>
        <w:b/>
        <w:bCs/>
      </w:rPr>
      <w:tblPr/>
      <w:tcPr>
        <w:tcBorders>
          <w:top w:val="single" w:sz="6" w:space="0"/>
        </w:tcBorders>
      </w:tcPr>
    </w:tblStylePr>
    <w:tblStylePr w:type="firstCol">
      <w:rPr/>
      <w:tblPr/>
      <w:tcPr>
        <w:tcBorders>
          <w:top w:val="nil"/>
          <w:left w:val="nil"/>
          <w:bottom w:val="nil"/>
          <w:right w:val="nil"/>
          <w:insideH w:val="single" w:sz="4" w:space="0" w:themeShade="99"/>
          <w:insideV w:val="nil"/>
        </w:tcBorders>
      </w:tcPr>
    </w:tblStylePr>
    <w:tblStylePr w:type="lastCol">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tblStylePr>
    <w:tblStylePr w:type="nwCell">
      <w:rPr/>
    </w:tblStylePr>
  </w:style>
  <w:style w:type="table" w:styleId="ColorfulShading-Accent1">
    <w:name w:val="Colorful Shading Accent 1"/>
    <w:basedOn w:val="TableNormal"/>
    <w:uiPriority w:val="71"/>
    <w:rsid w:val="00CB0664"/>
    <w:pPr>
      <w:spacing w:after="0" w:line="240" w:lineRule="auto"/>
    </w:pPr>
    <w:rPr/>
    <w:tblPr>
      <w:tblStyleRowBandSize w:val="1"/>
      <w:tblStyleColBandSize w:val="1"/>
      <w:tblInd w:w="0" w:type="dxa"/>
      <w:tblBorders>
        <w:top w:val="single" w:sz="2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tcPr/>
    <w:tblStylePr w:type="firstRow">
      <w:rPr>
        <w:b/>
        <w:bCs/>
      </w:rPr>
      <w:tblPr/>
      <w:tcPr>
        <w:tcBorders>
          <w:top w:val="nil"/>
          <w:left w:val="nil"/>
          <w:bottom w:val="single" w:sz="24" w:space="0"/>
          <w:right w:val="nil"/>
          <w:insideH w:val="nil"/>
          <w:insideV w:val="nil"/>
        </w:tcBorders>
      </w:tcPr>
    </w:tblStylePr>
    <w:tblStylePr w:type="lastRow">
      <w:rPr>
        <w:b/>
        <w:bCs/>
      </w:rPr>
      <w:tblPr/>
      <w:tcPr>
        <w:tcBorders>
          <w:top w:val="single" w:sz="6" w:space="0"/>
        </w:tcBorders>
      </w:tcPr>
    </w:tblStylePr>
    <w:tblStylePr w:type="firstCol">
      <w:rPr/>
      <w:tblPr/>
      <w:tcPr>
        <w:tcBorders>
          <w:top w:val="nil"/>
          <w:left w:val="nil"/>
          <w:bottom w:val="nil"/>
          <w:right w:val="nil"/>
          <w:insideH w:val="single" w:sz="4" w:space="0" w:themeShade="99"/>
          <w:insideV w:val="nil"/>
        </w:tcBorders>
      </w:tcPr>
    </w:tblStylePr>
    <w:tblStylePr w:type="lastCol">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tblStylePr>
    <w:tblStylePr w:type="nwCell">
      <w:rPr/>
    </w:tblStylePr>
  </w:style>
  <w:style w:type="table" w:styleId="ColorfulShading-Accent2">
    <w:name w:val="Colorful Shading Accent 2"/>
    <w:basedOn w:val="TableNormal"/>
    <w:uiPriority w:val="71"/>
    <w:rsid w:val="00CB0664"/>
    <w:pPr>
      <w:spacing w:after="0" w:line="240" w:lineRule="auto"/>
    </w:pPr>
    <w:rPr/>
    <w:tblPr>
      <w:tblStyleRowBandSize w:val="1"/>
      <w:tblStyleColBandSize w:val="1"/>
      <w:tblInd w:w="0" w:type="dxa"/>
      <w:tblBorders>
        <w:top w:val="single" w:sz="2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tcPr/>
    <w:tblStylePr w:type="firstRow">
      <w:rPr>
        <w:b/>
        <w:bCs/>
      </w:rPr>
      <w:tblPr/>
      <w:tcPr>
        <w:tcBorders>
          <w:top w:val="nil"/>
          <w:left w:val="nil"/>
          <w:bottom w:val="single" w:sz="24" w:space="0"/>
          <w:right w:val="nil"/>
          <w:insideH w:val="nil"/>
          <w:insideV w:val="nil"/>
        </w:tcBorders>
      </w:tcPr>
    </w:tblStylePr>
    <w:tblStylePr w:type="lastRow">
      <w:rPr>
        <w:b/>
        <w:bCs/>
      </w:rPr>
      <w:tblPr/>
      <w:tcPr>
        <w:tcBorders>
          <w:top w:val="single" w:sz="6" w:space="0"/>
        </w:tcBorders>
      </w:tcPr>
    </w:tblStylePr>
    <w:tblStylePr w:type="firstCol">
      <w:rPr/>
      <w:tblPr/>
      <w:tcPr>
        <w:tcBorders>
          <w:top w:val="nil"/>
          <w:left w:val="nil"/>
          <w:bottom w:val="nil"/>
          <w:right w:val="nil"/>
          <w:insideH w:val="single" w:sz="4" w:space="0" w:themeShade="99"/>
          <w:insideV w:val="nil"/>
        </w:tcBorders>
      </w:tcPr>
    </w:tblStylePr>
    <w:tblStylePr w:type="lastCol">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tblStylePr>
    <w:tblStylePr w:type="nwCell">
      <w:rPr/>
    </w:tblStylePr>
  </w:style>
  <w:style w:type="table" w:styleId="ColorfulShading-Accent3">
    <w:name w:val="Colorful Shading Accent 3"/>
    <w:basedOn w:val="TableNormal"/>
    <w:uiPriority w:val="71"/>
    <w:rsid w:val="00CB0664"/>
    <w:pPr>
      <w:spacing w:after="0" w:line="240" w:lineRule="auto"/>
    </w:pPr>
    <w:rPr/>
    <w:tblPr>
      <w:tblStyleRowBandSize w:val="1"/>
      <w:tblStyleColBandSize w:val="1"/>
      <w:tblInd w:w="0" w:type="dxa"/>
      <w:tblBorders>
        <w:top w:val="single" w:sz="2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tcPr/>
    <w:tblStylePr w:type="firstRow">
      <w:rPr>
        <w:b/>
        <w:bCs/>
      </w:rPr>
      <w:tblPr/>
      <w:tcPr>
        <w:tcBorders>
          <w:top w:val="nil"/>
          <w:left w:val="nil"/>
          <w:bottom w:val="single" w:sz="24" w:space="0"/>
          <w:right w:val="nil"/>
          <w:insideH w:val="nil"/>
          <w:insideV w:val="nil"/>
        </w:tcBorders>
      </w:tcPr>
    </w:tblStylePr>
    <w:tblStylePr w:type="lastRow">
      <w:rPr>
        <w:b/>
        <w:bCs/>
      </w:rPr>
      <w:tblPr/>
      <w:tcPr>
        <w:tcBorders>
          <w:top w:val="single" w:sz="6" w:space="0"/>
        </w:tcBorders>
      </w:tcPr>
    </w:tblStylePr>
    <w:tblStylePr w:type="firstCol">
      <w:rPr/>
      <w:tblPr/>
      <w:tcPr>
        <w:tcBorders>
          <w:top w:val="nil"/>
          <w:left w:val="nil"/>
          <w:bottom w:val="nil"/>
          <w:right w:val="nil"/>
          <w:insideH w:val="single" w:sz="4" w:space="0" w:themeShade="99"/>
          <w:insideV w:val="nil"/>
        </w:tcBorders>
      </w:tcPr>
    </w:tblStylePr>
    <w:tblStylePr w:type="lastCol">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tblPr>
      <w:tblStyleRowBandSize w:val="1"/>
      <w:tblStyleColBandSize w:val="1"/>
      <w:tblInd w:w="0" w:type="dxa"/>
      <w:tblBorders>
        <w:top w:val="single" w:sz="2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tcPr/>
    <w:tblStylePr w:type="firstRow">
      <w:rPr>
        <w:b/>
        <w:bCs/>
      </w:rPr>
      <w:tblPr/>
      <w:tcPr>
        <w:tcBorders>
          <w:top w:val="nil"/>
          <w:left w:val="nil"/>
          <w:bottom w:val="single" w:sz="24" w:space="0"/>
          <w:right w:val="nil"/>
          <w:insideH w:val="nil"/>
          <w:insideV w:val="nil"/>
        </w:tcBorders>
      </w:tcPr>
    </w:tblStylePr>
    <w:tblStylePr w:type="lastRow">
      <w:rPr>
        <w:b/>
        <w:bCs/>
      </w:rPr>
      <w:tblPr/>
      <w:tcPr>
        <w:tcBorders>
          <w:top w:val="single" w:sz="6" w:space="0"/>
        </w:tcBorders>
      </w:tcPr>
    </w:tblStylePr>
    <w:tblStylePr w:type="firstCol">
      <w:rPr/>
      <w:tblPr/>
      <w:tcPr>
        <w:tcBorders>
          <w:top w:val="nil"/>
          <w:left w:val="nil"/>
          <w:bottom w:val="nil"/>
          <w:right w:val="nil"/>
          <w:insideH w:val="single" w:sz="4" w:space="0" w:themeShade="99"/>
          <w:insideV w:val="nil"/>
        </w:tcBorders>
      </w:tcPr>
    </w:tblStylePr>
    <w:tblStylePr w:type="lastCol">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tblStylePr>
    <w:tblStylePr w:type="nwCell">
      <w:rPr/>
    </w:tblStylePr>
  </w:style>
  <w:style w:type="table" w:styleId="ColorfulShading-Accent5">
    <w:name w:val="Colorful Shading Accent 5"/>
    <w:basedOn w:val="TableNormal"/>
    <w:uiPriority w:val="71"/>
    <w:rsid w:val="00CB0664"/>
    <w:pPr>
      <w:spacing w:after="0" w:line="240" w:lineRule="auto"/>
    </w:pPr>
    <w:rPr/>
    <w:tblPr>
      <w:tblStyleRowBandSize w:val="1"/>
      <w:tblStyleColBandSize w:val="1"/>
      <w:tblInd w:w="0" w:type="dxa"/>
      <w:tblBorders>
        <w:top w:val="single" w:sz="2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tcPr/>
    <w:tblStylePr w:type="firstRow">
      <w:rPr>
        <w:b/>
        <w:bCs/>
      </w:rPr>
      <w:tblPr/>
      <w:tcPr>
        <w:tcBorders>
          <w:top w:val="nil"/>
          <w:left w:val="nil"/>
          <w:bottom w:val="single" w:sz="24" w:space="0"/>
          <w:right w:val="nil"/>
          <w:insideH w:val="nil"/>
          <w:insideV w:val="nil"/>
        </w:tcBorders>
      </w:tcPr>
    </w:tblStylePr>
    <w:tblStylePr w:type="lastRow">
      <w:rPr>
        <w:b/>
        <w:bCs/>
      </w:rPr>
      <w:tblPr/>
      <w:tcPr>
        <w:tcBorders>
          <w:top w:val="single" w:sz="6" w:space="0"/>
        </w:tcBorders>
      </w:tcPr>
    </w:tblStylePr>
    <w:tblStylePr w:type="firstCol">
      <w:rPr/>
      <w:tblPr/>
      <w:tcPr>
        <w:tcBorders>
          <w:top w:val="nil"/>
          <w:left w:val="nil"/>
          <w:bottom w:val="nil"/>
          <w:right w:val="nil"/>
          <w:insideH w:val="single" w:sz="4" w:space="0" w:themeShade="99"/>
          <w:insideV w:val="nil"/>
        </w:tcBorders>
      </w:tcPr>
    </w:tblStylePr>
    <w:tblStylePr w:type="lastCol">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tblStylePr>
    <w:tblStylePr w:type="nwCell">
      <w:rPr/>
    </w:tblStylePr>
  </w:style>
  <w:style w:type="table" w:styleId="ColorfulShading-Accent6">
    <w:name w:val="Colorful Shading Accent 6"/>
    <w:basedOn w:val="TableNormal"/>
    <w:uiPriority w:val="71"/>
    <w:rsid w:val="00CB0664"/>
    <w:pPr>
      <w:spacing w:after="0" w:line="240" w:lineRule="auto"/>
    </w:pPr>
    <w:rPr/>
    <w:tblPr>
      <w:tblStyleRowBandSize w:val="1"/>
      <w:tblStyleColBandSize w:val="1"/>
      <w:tblInd w:w="0" w:type="dxa"/>
      <w:tblBorders>
        <w:top w:val="single" w:sz="24" w:space="0"/>
        <w:left w:val="single" w:sz="4" w:space="0"/>
        <w:bottom w:val="single" w:sz="4" w:space="0"/>
        <w:right w:val="single" w:sz="4" w:space="0"/>
        <w:insideH w:val="single" w:sz="4" w:space="0"/>
        <w:insideV w:val="single" w:sz="4" w:space="0"/>
      </w:tblBorders>
      <w:tblCellMar>
        <w:top w:w="0" w:type="dxa"/>
        <w:left w:w="108" w:type="dxa"/>
        <w:bottom w:w="0" w:type="dxa"/>
        <w:right w:w="108" w:type="dxa"/>
      </w:tblCellMar>
    </w:tblPr>
    <w:tcPr/>
    <w:tblStylePr w:type="firstRow">
      <w:rPr>
        <w:b/>
        <w:bCs/>
      </w:rPr>
      <w:tblPr/>
      <w:tcPr>
        <w:tcBorders>
          <w:top w:val="nil"/>
          <w:left w:val="nil"/>
          <w:bottom w:val="single" w:sz="24" w:space="0"/>
          <w:right w:val="nil"/>
          <w:insideH w:val="nil"/>
          <w:insideV w:val="nil"/>
        </w:tcBorders>
      </w:tcPr>
    </w:tblStylePr>
    <w:tblStylePr w:type="lastRow">
      <w:rPr>
        <w:b/>
        <w:bCs/>
      </w:rPr>
      <w:tblPr/>
      <w:tcPr>
        <w:tcBorders>
          <w:top w:val="single" w:sz="6" w:space="0"/>
        </w:tcBorders>
      </w:tcPr>
    </w:tblStylePr>
    <w:tblStylePr w:type="firstCol">
      <w:rPr/>
      <w:tblPr/>
      <w:tcPr>
        <w:tcBorders>
          <w:top w:val="nil"/>
          <w:left w:val="nil"/>
          <w:bottom w:val="nil"/>
          <w:right w:val="nil"/>
          <w:insideH w:val="single" w:sz="4" w:space="0" w:themeShade="99"/>
          <w:insideV w:val="nil"/>
        </w:tcBorders>
      </w:tcPr>
    </w:tblStylePr>
    <w:tblStylePr w:type="lastCol">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tblStylePr>
    <w:tblStylePr w:type="nwCell">
      <w:rPr/>
    </w:tblStylePr>
  </w:style>
  <w:style w:type="table" w:styleId="ColorfulList">
    <w:name w:val="Colorful List"/>
    <w:basedOn w:val="TableNormal"/>
    <w:uiPriority w:val="72"/>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bottom w:val="single" w:sz="12" w:space="0"/>
        </w:tcBorders>
      </w:tcPr>
    </w:tblStylePr>
    <w:tblStylePr w:type="lastRow">
      <w:rPr>
        <w:b/>
        <w:bCs/>
      </w:rPr>
      <w:tblPr/>
      <w:tcPr>
        <w:tcBorders>
          <w:top w:val="single" w:sz="12" w:space="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bottom w:val="single" w:sz="12" w:space="0"/>
        </w:tcBorders>
      </w:tcPr>
    </w:tblStylePr>
    <w:tblStylePr w:type="lastRow">
      <w:rPr>
        <w:b/>
        <w:bCs/>
      </w:rPr>
      <w:tblPr/>
      <w:tcPr>
        <w:tcBorders>
          <w:top w:val="single" w:sz="12" w:space="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bottom w:val="single" w:sz="12" w:space="0"/>
        </w:tcBorders>
      </w:tcPr>
    </w:tblStylePr>
    <w:tblStylePr w:type="lastRow">
      <w:rPr>
        <w:b/>
        <w:bCs/>
      </w:rPr>
      <w:tblPr/>
      <w:tcPr>
        <w:tcBorders>
          <w:top w:val="single" w:sz="12" w:space="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bottom w:val="single" w:sz="12" w:space="0"/>
        </w:tcBorders>
      </w:tcPr>
    </w:tblStylePr>
    <w:tblStylePr w:type="lastRow">
      <w:rPr>
        <w:b/>
        <w:bCs/>
      </w:rPr>
      <w:tblPr/>
      <w:tcPr>
        <w:tcBorders>
          <w:top w:val="single" w:sz="12" w:space="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bottom w:val="single" w:sz="12" w:space="0"/>
        </w:tcBorders>
      </w:tcPr>
    </w:tblStylePr>
    <w:tblStylePr w:type="lastRow">
      <w:rPr>
        <w:b/>
        <w:bCs/>
      </w:rPr>
      <w:tblPr/>
      <w:tcPr>
        <w:tcBorders>
          <w:top w:val="single" w:sz="12" w:space="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bottom w:val="single" w:sz="12" w:space="0"/>
        </w:tcBorders>
      </w:tcPr>
    </w:tblStylePr>
    <w:tblStylePr w:type="lastRow">
      <w:rPr>
        <w:b/>
        <w:bCs/>
      </w:rPr>
      <w:tblPr/>
      <w:tcPr>
        <w:tcBorders>
          <w:top w:val="single" w:sz="12" w:space="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tblPr>
      <w:tblStyleRowBandSize w:val="1"/>
      <w:tblStyleColBandSize w:val="1"/>
      <w:tblInd w:w="0" w:type="dxa"/>
      <w:tblCellMar>
        <w:top w:w="0" w:type="dxa"/>
        <w:left w:w="108" w:type="dxa"/>
        <w:bottom w:w="0" w:type="dxa"/>
        <w:right w:w="108" w:type="dxa"/>
      </w:tblCellMar>
    </w:tblPr>
    <w:tcPr/>
    <w:tblStylePr w:type="firstRow">
      <w:rPr>
        <w:b/>
        <w:bCs/>
      </w:rPr>
      <w:tblPr/>
      <w:tcPr>
        <w:tcBorders>
          <w:bottom w:val="single" w:sz="12" w:space="0"/>
        </w:tcBorders>
      </w:tcPr>
    </w:tblStylePr>
    <w:tblStylePr w:type="lastRow">
      <w:rPr>
        <w:b/>
        <w:bCs/>
      </w:rPr>
      <w:tblPr/>
      <w:tcPr>
        <w:tcBorders>
          <w:top w:val="single" w:sz="12" w:space="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tblPr>
      <w:tblStyleRowBandSize w:val="1"/>
      <w:tblStyleColBandSize w:val="1"/>
      <w:tblInd w:w="0" w:type="dxa"/>
      <w:tblBorders>
        <w:insideH w:val="single" w:sz="4" w:space="0"/>
      </w:tblBorders>
      <w:tblCellMar>
        <w:top w:w="0" w:type="dxa"/>
        <w:left w:w="108" w:type="dxa"/>
        <w:bottom w:w="0" w:type="dxa"/>
        <w:right w:w="108" w:type="dxa"/>
      </w:tblCellMar>
    </w:tblPr>
    <w:tcPr/>
    <w:tblStylePr w:type="firstRow">
      <w:rPr>
        <w:b/>
        <w:bCs/>
      </w:rPr>
      <w:tblPr/>
      <w:tcPr/>
    </w:tblStylePr>
    <w:tblStylePr w:type="lastRow">
      <w:rPr>
        <w:b/>
        <w:bCs/>
      </w:rPr>
      <w:tblPr/>
      <w:tcPr/>
    </w:tblStylePr>
    <w:tblStylePr w:type="firstCol">
      <w:rPr/>
      <w:tblPr/>
      <w:tcPr/>
    </w:tblStylePr>
    <w:tblStylePr w:type="lastCol">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tblPr>
      <w:tblStyleRowBandSize w:val="1"/>
      <w:tblStyleColBandSize w:val="1"/>
      <w:tblInd w:w="0" w:type="dxa"/>
      <w:tblBorders>
        <w:insideH w:val="single" w:sz="4" w:space="0"/>
      </w:tblBorders>
      <w:tblCellMar>
        <w:top w:w="0" w:type="dxa"/>
        <w:left w:w="108" w:type="dxa"/>
        <w:bottom w:w="0" w:type="dxa"/>
        <w:right w:w="108" w:type="dxa"/>
      </w:tblCellMar>
    </w:tblPr>
    <w:tcPr/>
    <w:tblStylePr w:type="firstRow">
      <w:rPr>
        <w:b/>
        <w:bCs/>
      </w:rPr>
      <w:tblPr/>
      <w:tcPr/>
    </w:tblStylePr>
    <w:tblStylePr w:type="lastRow">
      <w:rPr>
        <w:b/>
        <w:bCs/>
      </w:rPr>
      <w:tblPr/>
      <w:tcPr/>
    </w:tblStylePr>
    <w:tblStylePr w:type="firstCol">
      <w:rPr/>
      <w:tblPr/>
      <w:tcPr/>
    </w:tblStylePr>
    <w:tblStylePr w:type="lastCol">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tblPr>
      <w:tblStyleRowBandSize w:val="1"/>
      <w:tblStyleColBandSize w:val="1"/>
      <w:tblInd w:w="0" w:type="dxa"/>
      <w:tblBorders>
        <w:insideH w:val="single" w:sz="4" w:space="0"/>
      </w:tblBorders>
      <w:tblCellMar>
        <w:top w:w="0" w:type="dxa"/>
        <w:left w:w="108" w:type="dxa"/>
        <w:bottom w:w="0" w:type="dxa"/>
        <w:right w:w="108" w:type="dxa"/>
      </w:tblCellMar>
    </w:tblPr>
    <w:tcPr/>
    <w:tblStylePr w:type="firstRow">
      <w:rPr>
        <w:b/>
        <w:bCs/>
      </w:rPr>
      <w:tblPr/>
      <w:tcPr/>
    </w:tblStylePr>
    <w:tblStylePr w:type="lastRow">
      <w:rPr>
        <w:b/>
        <w:bCs/>
      </w:rPr>
      <w:tblPr/>
      <w:tcPr/>
    </w:tblStylePr>
    <w:tblStylePr w:type="firstCol">
      <w:rPr/>
      <w:tblPr/>
      <w:tcPr/>
    </w:tblStylePr>
    <w:tblStylePr w:type="lastCol">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tblPr>
      <w:tblStyleRowBandSize w:val="1"/>
      <w:tblStyleColBandSize w:val="1"/>
      <w:tblInd w:w="0" w:type="dxa"/>
      <w:tblBorders>
        <w:insideH w:val="single" w:sz="4" w:space="0"/>
      </w:tblBorders>
      <w:tblCellMar>
        <w:top w:w="0" w:type="dxa"/>
        <w:left w:w="108" w:type="dxa"/>
        <w:bottom w:w="0" w:type="dxa"/>
        <w:right w:w="108" w:type="dxa"/>
      </w:tblCellMar>
    </w:tblPr>
    <w:tcPr/>
    <w:tblStylePr w:type="firstRow">
      <w:rPr>
        <w:b/>
        <w:bCs/>
      </w:rPr>
      <w:tblPr/>
      <w:tcPr/>
    </w:tblStylePr>
    <w:tblStylePr w:type="lastRow">
      <w:rPr>
        <w:b/>
        <w:bCs/>
      </w:rPr>
      <w:tblPr/>
      <w:tcPr/>
    </w:tblStylePr>
    <w:tblStylePr w:type="firstCol">
      <w:rPr/>
      <w:tblPr/>
      <w:tcPr/>
    </w:tblStylePr>
    <w:tblStylePr w:type="lastCol">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tblPr>
      <w:tblStyleRowBandSize w:val="1"/>
      <w:tblStyleColBandSize w:val="1"/>
      <w:tblInd w:w="0" w:type="dxa"/>
      <w:tblBorders>
        <w:insideH w:val="single" w:sz="4" w:space="0"/>
      </w:tblBorders>
      <w:tblCellMar>
        <w:top w:w="0" w:type="dxa"/>
        <w:left w:w="108" w:type="dxa"/>
        <w:bottom w:w="0" w:type="dxa"/>
        <w:right w:w="108" w:type="dxa"/>
      </w:tblCellMar>
    </w:tblPr>
    <w:tcPr/>
    <w:tblStylePr w:type="firstRow">
      <w:rPr>
        <w:b/>
        <w:bCs/>
      </w:rPr>
      <w:tblPr/>
      <w:tcPr/>
    </w:tblStylePr>
    <w:tblStylePr w:type="lastRow">
      <w:rPr>
        <w:b/>
        <w:bCs/>
      </w:rPr>
      <w:tblPr/>
      <w:tcPr/>
    </w:tblStylePr>
    <w:tblStylePr w:type="firstCol">
      <w:rPr/>
      <w:tblPr/>
      <w:tcPr/>
    </w:tblStylePr>
    <w:tblStylePr w:type="lastCol">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tblPr>
      <w:tblStyleRowBandSize w:val="1"/>
      <w:tblStyleColBandSize w:val="1"/>
      <w:tblInd w:w="0" w:type="dxa"/>
      <w:tblBorders>
        <w:insideH w:val="single" w:sz="4" w:space="0"/>
      </w:tblBorders>
      <w:tblCellMar>
        <w:top w:w="0" w:type="dxa"/>
        <w:left w:w="108" w:type="dxa"/>
        <w:bottom w:w="0" w:type="dxa"/>
        <w:right w:w="108" w:type="dxa"/>
      </w:tblCellMar>
    </w:tblPr>
    <w:tcPr/>
    <w:tblStylePr w:type="firstRow">
      <w:rPr>
        <w:b/>
        <w:bCs/>
      </w:rPr>
      <w:tblPr/>
      <w:tcPr/>
    </w:tblStylePr>
    <w:tblStylePr w:type="lastRow">
      <w:rPr>
        <w:b/>
        <w:bCs/>
      </w:rPr>
      <w:tblPr/>
      <w:tcPr/>
    </w:tblStylePr>
    <w:tblStylePr w:type="firstCol">
      <w:rPr/>
      <w:tblPr/>
      <w:tcPr/>
    </w:tblStylePr>
    <w:tblStylePr w:type="lastCol">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tblPr>
      <w:tblStyleRowBandSize w:val="1"/>
      <w:tblStyleColBandSize w:val="1"/>
      <w:tblInd w:w="0" w:type="dxa"/>
      <w:tblBorders>
        <w:insideH w:val="single" w:sz="4" w:space="0"/>
      </w:tblBorders>
      <w:tblCellMar>
        <w:top w:w="0" w:type="dxa"/>
        <w:left w:w="108" w:type="dxa"/>
        <w:bottom w:w="0" w:type="dxa"/>
        <w:right w:w="108" w:type="dxa"/>
      </w:tblCellMar>
    </w:tblPr>
    <w:tcPr/>
    <w:tblStylePr w:type="firstRow">
      <w:rPr>
        <w:b/>
        <w:bCs/>
      </w:rPr>
      <w:tblPr/>
      <w:tcPr/>
    </w:tblStylePr>
    <w:tblStylePr w:type="lastRow">
      <w:rPr>
        <w:b/>
        <w:bCs/>
      </w:rPr>
      <w:tblPr/>
      <w:tcPr/>
    </w:tblStylePr>
    <w:tblStylePr w:type="firstCol">
      <w:rPr/>
      <w:tblPr/>
      <w:tcPr/>
    </w:tblStylePr>
    <w:tblStylePr w:type="lastCol">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