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ABSTRACT</w:t>
      </w:r>
    </w:p>
    <w:p>
      <w:pPr>
        <w:jc w:val="both"/>
        <w:spacing w:line="240" w:lineRule="auto"/>
      </w:pPr>
      <w:r>
        <w:rPr>
          <w:rFonts w:ascii="Times New Roman" w:hAnsi="Times New Roman"/>
          <w:sz w:val="24"/>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r>
        <w:br w:type="page"/>
      </w:r>
    </w:p>
    <w:p>
      <w:pPr>
        <w:jc w:val="center"/>
      </w:pPr>
      <w:r>
        <w:rPr>
          <w:rFonts w:ascii="Times New Roman" w:hAnsi="Times New Roman"/>
          <w:b/>
          <w:sz w:val="24"/>
        </w:rPr>
        <w:t>ACKNOWLEDGEMENT</w:t>
      </w:r>
    </w:p>
    <w:p>
      <w:pPr>
        <w:spacing w:after="0"/>
        <w:jc w:val="both"/>
        <w:spacing w:line="480" w:lineRule="auto"/>
      </w:pPr>
      <w:r>
        <w:rPr>
          <w:rFonts w:ascii="Times New Roman" w:hAnsi="Times New Roman"/>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r>
        <w:br w:type="page"/>
      </w:r>
    </w:p>
    <w:p>
      <w:pPr>
        <w:jc w:val="center"/>
      </w:pPr>
      <w:r>
        <w:rPr>
          <w:rFonts w:ascii="Times New Roman" w:hAnsi="Times New Roman"/>
          <w:b/>
          <w:sz w:val="24"/>
        </w:rPr>
        <w:t>TABLE OF CONTENTS</w:t>
      </w:r>
    </w:p>
    <w:p>
      <w:pPr>
        <w:jc w:val="left"/>
        <w:spacing w:line="480" w:lineRule="auto"/>
      </w:pPr>
      <w:r>
        <w:rPr>
          <w:rFonts w:ascii="Times New Roman" w:hAnsi="Times New Roman"/>
          <w:sz w:val="24"/>
        </w:rPr>
        <w:t>Chapter 1: Introduction</w:t>
      </w:r>
    </w:p>
    <w:p>
      <w:pPr>
        <w:jc w:val="left"/>
        <w:spacing w:line="480" w:lineRule="auto"/>
      </w:pPr>
      <w:r>
        <w:rPr>
          <w:rFonts w:ascii="Times New Roman" w:hAnsi="Times New Roman"/>
          <w:sz w:val="24"/>
        </w:rPr>
        <w:t>Chapter 2: Financial Service Providers Research and Analysis</w:t>
      </w:r>
    </w:p>
    <w:p>
      <w:pPr>
        <w:jc w:val="left"/>
        <w:spacing w:line="480" w:lineRule="auto"/>
      </w:pPr>
      <w:r>
        <w:rPr>
          <w:rFonts w:ascii="Times New Roman" w:hAnsi="Times New Roman"/>
          <w:sz w:val="24"/>
        </w:rPr>
        <w:t>Chapter 3: Technical Implementations and Projects</w:t>
      </w:r>
    </w:p>
    <w:p>
      <w:pPr>
        <w:jc w:val="left"/>
        <w:spacing w:line="480" w:lineRule="auto"/>
      </w:pPr>
      <w:r>
        <w:rPr>
          <w:rFonts w:ascii="Times New Roman" w:hAnsi="Times New Roman"/>
          <w:sz w:val="24"/>
        </w:rPr>
        <w:t>Chapter 4: Conclusions and Recommendations</w:t>
      </w:r>
    </w:p>
    <w:p>
      <w:pPr>
        <w:jc w:val="left"/>
        <w:spacing w:line="480" w:lineRule="auto"/>
      </w:pPr>
      <w:r>
        <w:rPr>
          <w:rFonts w:ascii="Times New Roman" w:hAnsi="Times New Roman"/>
          <w:sz w:val="24"/>
        </w:rPr>
        <w:t>References</w:t>
      </w:r>
    </w:p>
    <w:p>
      <w:pPr>
        <w:jc w:val="left"/>
        <w:spacing w:line="480" w:lineRule="auto"/>
      </w:pPr>
      <w:r>
        <w:rPr>
          <w:rFonts w:ascii="Times New Roman" w:hAnsi="Times New Roman"/>
          <w:sz w:val="24"/>
        </w:rPr>
        <w:t>Appendices</w:t>
      </w:r>
    </w:p>
    <w:p>
      <w:r>
        <w:br w:type="page"/>
      </w:r>
    </w:p>
    <w:p>
      <w:pPr>
        <w:pStyle w:val="Heading1"/>
        <w:spacing w:before="240" w:after="240"/>
        <w:jc w:val="left"/>
        <w:spacing w:line="480" w:lineRule="auto"/>
      </w:pPr>
      <w:r>
        <w:rPr>
          <w:rFonts w:ascii="Times New Roman" w:hAnsi="Times New Roman"/>
          <w:b/>
          <w:sz w:val="24"/>
        </w:rPr>
        <w:t>CHAPTER 1: INTRODUCTION</w:t>
      </w:r>
    </w:p>
    <w:p>
      <w:pPr>
        <w:pStyle w:val="Heading2"/>
        <w:spacing w:before="240" w:after="240"/>
        <w:jc w:val="left"/>
        <w:spacing w:line="480" w:lineRule="auto"/>
      </w:pPr>
      <w:r>
        <w:rPr>
          <w:rFonts w:ascii="Times New Roman" w:hAnsi="Times New Roman"/>
          <w:b/>
          <w:sz w:val="24"/>
        </w:rPr>
        <w:t>1.1 Description of the Company</w:t>
      </w:r>
    </w:p>
    <w:p>
      <w:pPr>
        <w:spacing w:after="0"/>
        <w:jc w:val="both"/>
        <w:spacing w:line="480" w:lineRule="auto"/>
      </w:pPr>
      <w:r>
        <w:rPr>
          <w:rFonts w:ascii="Times New Roman" w:hAnsi="Times New Roman"/>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pStyle w:val="Heading2"/>
        <w:spacing w:before="240" w:after="240"/>
        <w:jc w:val="left"/>
        <w:spacing w:line="480" w:lineRule="auto"/>
      </w:pPr>
      <w:r>
        <w:rPr>
          <w:rFonts w:ascii="Times New Roman" w:hAnsi="Times New Roman"/>
          <w:b/>
          <w:sz w:val="24"/>
        </w:rPr>
        <w:t>1.2 Company History and Background</w:t>
      </w:r>
    </w:p>
    <w:p>
      <w:pPr>
        <w:spacing w:after="0"/>
        <w:jc w:val="both"/>
        <w:spacing w:line="480" w:lineRule="auto"/>
      </w:pPr>
      <w:r>
        <w:rPr>
          <w:rFonts w:ascii="Times New Roman" w:hAnsi="Times New Roman"/>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pStyle w:val="Heading2"/>
        <w:spacing w:before="240" w:after="240"/>
        <w:jc w:val="left"/>
        <w:spacing w:line="480" w:lineRule="auto"/>
      </w:pPr>
      <w:r>
        <w:rPr>
          <w:rFonts w:ascii="Times New Roman" w:hAnsi="Times New Roman"/>
          <w:b/>
          <w:sz w:val="24"/>
        </w:rPr>
        <w:t>1.3 Organisational Structure</w:t>
      </w:r>
    </w:p>
    <w:p>
      <w:pPr>
        <w:spacing w:after="0"/>
        <w:jc w:val="both"/>
        <w:spacing w:line="480" w:lineRule="auto"/>
      </w:pPr>
      <w:r>
        <w:rPr>
          <w:rFonts w:ascii="Times New Roman" w:hAnsi="Times New Roman"/>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pStyle w:val="Heading2"/>
        <w:spacing w:before="240" w:after="240"/>
        <w:jc w:val="left"/>
        <w:spacing w:line="480" w:lineRule="auto"/>
      </w:pPr>
      <w:r>
        <w:rPr>
          <w:rFonts w:ascii="Times New Roman" w:hAnsi="Times New Roman"/>
          <w:b/>
          <w:sz w:val="24"/>
        </w:rPr>
        <w:t>1.4 Core Business Operations and Products</w:t>
      </w:r>
    </w:p>
    <w:p>
      <w:pPr>
        <w:spacing w:after="0"/>
        <w:jc w:val="both"/>
        <w:spacing w:line="480" w:lineRule="auto"/>
      </w:pPr>
      <w:r>
        <w:rPr>
          <w:rFonts w:ascii="Times New Roman" w:hAnsi="Times New Roman"/>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pStyle w:val="Heading2"/>
        <w:spacing w:before="240" w:after="240"/>
        <w:jc w:val="left"/>
        <w:spacing w:line="480" w:lineRule="auto"/>
      </w:pPr>
      <w:r>
        <w:rPr>
          <w:rFonts w:ascii="Times New Roman" w:hAnsi="Times New Roman"/>
          <w:b/>
          <w:sz w:val="24"/>
        </w:rPr>
        <w:t>1.5 Management Team Profile</w:t>
      </w:r>
    </w:p>
    <w:p>
      <w:pPr>
        <w:spacing w:after="0"/>
        <w:jc w:val="both"/>
        <w:spacing w:line="480" w:lineRule="auto"/>
      </w:pPr>
      <w:r>
        <w:rPr>
          <w:rFonts w:ascii="Times New Roman" w:hAnsi="Times New Roman"/>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pStyle w:val="Heading2"/>
        <w:spacing w:before="240" w:after="240"/>
        <w:jc w:val="left"/>
        <w:spacing w:line="480" w:lineRule="auto"/>
      </w:pPr>
      <w:r>
        <w:rPr>
          <w:rFonts w:ascii="Times New Roman" w:hAnsi="Times New Roman"/>
          <w:b/>
          <w:sz w:val="24"/>
        </w:rPr>
        <w:t>1.6 Role and Responsibilities During Attachment</w:t>
      </w:r>
    </w:p>
    <w:p>
      <w:pPr>
        <w:spacing w:after="0"/>
        <w:jc w:val="both"/>
        <w:spacing w:line="480" w:lineRule="auto"/>
      </w:pPr>
      <w:r>
        <w:rPr>
          <w:rFonts w:ascii="Times New Roman" w:hAnsi="Times New Roman"/>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r>
        <w:br w:type="page"/>
      </w:r>
    </w:p>
    <w:p>
      <w:pPr>
        <w:pStyle w:val="Heading1"/>
        <w:spacing w:before="240" w:after="240"/>
        <w:jc w:val="left"/>
        <w:spacing w:line="480" w:lineRule="auto"/>
      </w:pPr>
      <w:r>
        <w:rPr>
          <w:rFonts w:ascii="Times New Roman" w:hAnsi="Times New Roman"/>
          <w:b/>
          <w:sz w:val="24"/>
        </w:rPr>
        <w:t>CHAPTER 2: FINANCIAL SERVICE PROVIDERS RESEARCH AND ANALYSIS</w:t>
      </w:r>
    </w:p>
    <w:p>
      <w:pPr>
        <w:pStyle w:val="Heading2"/>
        <w:spacing w:before="240" w:after="240"/>
        <w:jc w:val="left"/>
        <w:spacing w:line="480" w:lineRule="auto"/>
      </w:pPr>
      <w:r>
        <w:rPr>
          <w:rFonts w:ascii="Times New Roman" w:hAnsi="Times New Roman"/>
          <w:b/>
          <w:sz w:val="24"/>
        </w:rPr>
        <w:t>2.1 EcoCash Platform Analysis</w:t>
      </w:r>
    </w:p>
    <w:p>
      <w:pPr>
        <w:spacing w:after="0"/>
        <w:jc w:val="both"/>
        <w:spacing w:line="480" w:lineRule="auto"/>
      </w:pPr>
      <w:r>
        <w:rPr>
          <w:rFonts w:ascii="Times New Roman" w:hAnsi="Times New Roman"/>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pStyle w:val="Heading2"/>
        <w:spacing w:before="240" w:after="240"/>
        <w:jc w:val="left"/>
        <w:spacing w:line="480" w:lineRule="auto"/>
      </w:pPr>
      <w:r>
        <w:rPr>
          <w:rFonts w:ascii="Times New Roman" w:hAnsi="Times New Roman"/>
          <w:b/>
          <w:sz w:val="24"/>
        </w:rPr>
        <w:t>2.1.1 Platform Architecture and Technical Specifications</w:t>
      </w:r>
    </w:p>
    <w:p>
      <w:pPr>
        <w:spacing w:after="0"/>
        <w:jc w:val="both"/>
        <w:spacing w:line="480" w:lineRule="auto"/>
      </w:pPr>
      <w:r>
        <w:rPr>
          <w:rFonts w:ascii="Times New Roman" w:hAnsi="Times New Roman"/>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pStyle w:val="Heading2"/>
        <w:spacing w:before="240" w:after="240"/>
        <w:jc w:val="left"/>
        <w:spacing w:line="480" w:lineRule="auto"/>
      </w:pPr>
      <w:r>
        <w:rPr>
          <w:rFonts w:ascii="Times New Roman" w:hAnsi="Times New Roman"/>
          <w:b/>
          <w:sz w:val="24"/>
        </w:rPr>
        <w:t>2.1.2 Integration Challenges and Solutions</w:t>
      </w:r>
    </w:p>
    <w:p>
      <w:pPr>
        <w:spacing w:after="0"/>
        <w:jc w:val="both"/>
        <w:spacing w:line="480" w:lineRule="auto"/>
      </w:pPr>
      <w:r>
        <w:rPr>
          <w:rFonts w:ascii="Times New Roman" w:hAnsi="Times New Roman"/>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pStyle w:val="Heading2"/>
        <w:spacing w:before="240" w:after="240"/>
        <w:jc w:val="left"/>
        <w:spacing w:line="480" w:lineRule="auto"/>
      </w:pPr>
      <w:r>
        <w:rPr>
          <w:rFonts w:ascii="Times New Roman" w:hAnsi="Times New Roman"/>
          <w:b/>
          <w:sz w:val="24"/>
        </w:rPr>
        <w:t>2.1.3 Research Findings and Recommendations</w:t>
      </w:r>
    </w:p>
    <w:p>
      <w:pPr>
        <w:spacing w:after="0"/>
        <w:jc w:val="both"/>
        <w:spacing w:line="480" w:lineRule="auto"/>
      </w:pPr>
      <w:r>
        <w:rPr>
          <w:rFonts w:ascii="Times New Roman" w:hAnsi="Times New Roman"/>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pStyle w:val="Heading2"/>
        <w:spacing w:before="240" w:after="240"/>
        <w:jc w:val="left"/>
        <w:spacing w:line="480" w:lineRule="auto"/>
      </w:pPr>
      <w:r>
        <w:rPr>
          <w:rFonts w:ascii="Times New Roman" w:hAnsi="Times New Roman"/>
          <w:b/>
          <w:sz w:val="24"/>
        </w:rPr>
        <w:t>2.2 InnBucks Integration Study</w:t>
      </w:r>
    </w:p>
    <w:p>
      <w:pPr>
        <w:spacing w:after="0"/>
        <w:jc w:val="both"/>
        <w:spacing w:line="480" w:lineRule="auto"/>
      </w:pPr>
      <w:r>
        <w:rPr>
          <w:rFonts w:ascii="Times New Roman" w:hAnsi="Times New Roman"/>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pStyle w:val="Heading2"/>
        <w:spacing w:before="240" w:after="240"/>
        <w:jc w:val="left"/>
        <w:spacing w:line="480" w:lineRule="auto"/>
      </w:pPr>
      <w:r>
        <w:rPr>
          <w:rFonts w:ascii="Times New Roman" w:hAnsi="Times New Roman"/>
          <w:b/>
          <w:sz w:val="24"/>
        </w:rPr>
        <w:t>2.2.1 Platform Capabilities and API Design</w:t>
      </w:r>
    </w:p>
    <w:p>
      <w:pPr>
        <w:spacing w:after="0"/>
        <w:jc w:val="both"/>
        <w:spacing w:line="480" w:lineRule="auto"/>
      </w:pPr>
      <w:r>
        <w:rPr>
          <w:rFonts w:ascii="Times New Roman" w:hAnsi="Times New Roman"/>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pStyle w:val="Heading2"/>
        <w:spacing w:before="240" w:after="240"/>
        <w:jc w:val="left"/>
        <w:spacing w:line="480" w:lineRule="auto"/>
      </w:pPr>
      <w:r>
        <w:rPr>
          <w:rFonts w:ascii="Times New Roman" w:hAnsi="Times New Roman"/>
          <w:b/>
          <w:sz w:val="24"/>
        </w:rPr>
        <w:t>2.2.2 Business Model and Market Positioning</w:t>
      </w:r>
    </w:p>
    <w:p>
      <w:pPr>
        <w:spacing w:after="0"/>
        <w:jc w:val="both"/>
        <w:spacing w:line="480" w:lineRule="auto"/>
      </w:pPr>
      <w:r>
        <w:rPr>
          <w:rFonts w:ascii="Times New Roman" w:hAnsi="Times New Roman"/>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pStyle w:val="Heading2"/>
        <w:spacing w:before="240" w:after="240"/>
        <w:jc w:val="left"/>
        <w:spacing w:line="480" w:lineRule="auto"/>
      </w:pPr>
      <w:r>
        <w:rPr>
          <w:rFonts w:ascii="Times New Roman" w:hAnsi="Times New Roman"/>
          <w:b/>
          <w:sz w:val="24"/>
        </w:rPr>
        <w:t>2.2.3 Integration Outcomes and Insights</w:t>
      </w:r>
    </w:p>
    <w:p>
      <w:pPr>
        <w:spacing w:after="0"/>
        <w:jc w:val="both"/>
        <w:spacing w:line="480" w:lineRule="auto"/>
      </w:pPr>
      <w:r>
        <w:rPr>
          <w:rFonts w:ascii="Times New Roman" w:hAnsi="Times New Roman"/>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pStyle w:val="Heading2"/>
        <w:spacing w:before="240" w:after="240"/>
        <w:jc w:val="left"/>
        <w:spacing w:line="480" w:lineRule="auto"/>
      </w:pPr>
      <w:r>
        <w:rPr>
          <w:rFonts w:ascii="Times New Roman" w:hAnsi="Times New Roman"/>
          <w:b/>
          <w:sz w:val="24"/>
        </w:rPr>
        <w:t>2.3 Omari Loan Platform Evaluation</w:t>
      </w:r>
    </w:p>
    <w:p>
      <w:pPr>
        <w:spacing w:after="0"/>
        <w:jc w:val="both"/>
        <w:spacing w:line="480" w:lineRule="auto"/>
      </w:pPr>
      <w:r>
        <w:rPr>
          <w:rFonts w:ascii="Times New Roman" w:hAnsi="Times New Roman"/>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pStyle w:val="Heading2"/>
        <w:spacing w:before="240" w:after="240"/>
        <w:jc w:val="left"/>
        <w:spacing w:line="480" w:lineRule="auto"/>
      </w:pPr>
      <w:r>
        <w:rPr>
          <w:rFonts w:ascii="Times New Roman" w:hAnsi="Times New Roman"/>
          <w:b/>
          <w:sz w:val="24"/>
        </w:rPr>
        <w:t>2.3.1 Credit Scoring and Risk Assessment Methodologies</w:t>
      </w:r>
    </w:p>
    <w:p>
      <w:pPr>
        <w:spacing w:after="0"/>
        <w:jc w:val="both"/>
        <w:spacing w:line="480" w:lineRule="auto"/>
      </w:pPr>
      <w:r>
        <w:rPr>
          <w:rFonts w:ascii="Times New Roman" w:hAnsi="Times New Roman"/>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pStyle w:val="Heading2"/>
        <w:spacing w:before="240" w:after="240"/>
        <w:jc w:val="left"/>
        <w:spacing w:line="480" w:lineRule="auto"/>
      </w:pPr>
      <w:r>
        <w:rPr>
          <w:rFonts w:ascii="Times New Roman" w:hAnsi="Times New Roman"/>
          <w:b/>
          <w:sz w:val="24"/>
        </w:rPr>
        <w:t>2.3.2 Customer Experience and Digital Onboarding</w:t>
      </w:r>
    </w:p>
    <w:p>
      <w:pPr>
        <w:spacing w:after="0"/>
        <w:jc w:val="both"/>
        <w:spacing w:line="480" w:lineRule="auto"/>
      </w:pPr>
      <w:r>
        <w:rPr>
          <w:rFonts w:ascii="Times New Roman" w:hAnsi="Times New Roman"/>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pStyle w:val="Heading2"/>
        <w:spacing w:before="240" w:after="240"/>
        <w:jc w:val="left"/>
        <w:spacing w:line="480" w:lineRule="auto"/>
      </w:pPr>
      <w:r>
        <w:rPr>
          <w:rFonts w:ascii="Times New Roman" w:hAnsi="Times New Roman"/>
          <w:b/>
          <w:sz w:val="24"/>
        </w:rPr>
        <w:t>2.3.3 Competitive Benchmarking and Strategic Implications</w:t>
      </w:r>
    </w:p>
    <w:p>
      <w:pPr>
        <w:spacing w:after="0"/>
        <w:jc w:val="both"/>
        <w:spacing w:line="480" w:lineRule="auto"/>
      </w:pPr>
      <w:r>
        <w:rPr>
          <w:rFonts w:ascii="Times New Roman" w:hAnsi="Times New Roman"/>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markets,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pStyle w:val="Heading2"/>
        <w:spacing w:before="240" w:after="240"/>
        <w:jc w:val="left"/>
        <w:spacing w:line="480" w:lineRule="auto"/>
      </w:pPr>
      <w:r>
        <w:rPr>
          <w:rFonts w:ascii="Times New Roman" w:hAnsi="Times New Roman"/>
          <w:b/>
          <w:sz w:val="24"/>
        </w:rPr>
        <w:t>2.4 SSB Civil Servants Loans System</w:t>
      </w:r>
    </w:p>
    <w:p>
      <w:pPr>
        <w:spacing w:after="0"/>
        <w:jc w:val="both"/>
        <w:spacing w:line="480" w:lineRule="auto"/>
      </w:pPr>
      <w:r>
        <w:rPr>
          <w:rFonts w:ascii="Times New Roman" w:hAnsi="Times New Roman"/>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pStyle w:val="Heading2"/>
        <w:spacing w:before="240" w:after="240"/>
        <w:jc w:val="left"/>
        <w:spacing w:line="480" w:lineRule="auto"/>
      </w:pPr>
      <w:r>
        <w:rPr>
          <w:rFonts w:ascii="Times New Roman" w:hAnsi="Times New Roman"/>
          <w:b/>
          <w:sz w:val="24"/>
        </w:rPr>
        <w:t>2.4.1 System Architecture and Administration</w:t>
      </w:r>
    </w:p>
    <w:p>
      <w:pPr>
        <w:spacing w:after="0"/>
        <w:jc w:val="both"/>
        <w:spacing w:line="480" w:lineRule="auto"/>
      </w:pPr>
      <w:r>
        <w:rPr>
          <w:rFonts w:ascii="Times New Roman" w:hAnsi="Times New Roman"/>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pStyle w:val="Heading2"/>
        <w:spacing w:before="240" w:after="240"/>
        <w:jc w:val="left"/>
        <w:spacing w:line="480" w:lineRule="auto"/>
      </w:pPr>
      <w:r>
        <w:rPr>
          <w:rFonts w:ascii="Times New Roman" w:hAnsi="Times New Roman"/>
          <w:b/>
          <w:sz w:val="24"/>
        </w:rPr>
        <w:t>2.4.2 Operational Challenges and Opportunities</w:t>
      </w:r>
    </w:p>
    <w:p>
      <w:pPr>
        <w:spacing w:after="0"/>
        <w:jc w:val="both"/>
        <w:spacing w:line="480" w:lineRule="auto"/>
      </w:pPr>
      <w:r>
        <w:rPr>
          <w:rFonts w:ascii="Times New Roman" w:hAnsi="Times New Roman"/>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pStyle w:val="Heading2"/>
        <w:spacing w:before="240" w:after="240"/>
        <w:jc w:val="left"/>
        <w:spacing w:line="480" w:lineRule="auto"/>
      </w:pPr>
      <w:r>
        <w:rPr>
          <w:rFonts w:ascii="Times New Roman" w:hAnsi="Times New Roman"/>
          <w:b/>
          <w:sz w:val="24"/>
        </w:rPr>
        <w:t>2.4.3 Insights for Salary-Linked Lending</w:t>
      </w:r>
    </w:p>
    <w:p>
      <w:pPr>
        <w:spacing w:after="0"/>
        <w:jc w:val="both"/>
        <w:spacing w:line="480" w:lineRule="auto"/>
      </w:pPr>
      <w:r>
        <w:rPr>
          <w:rFonts w:ascii="Times New Roman" w:hAnsi="Times New Roman"/>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r>
        <w:br w:type="page"/>
      </w:r>
    </w:p>
    <w:p>
      <w:pPr>
        <w:pStyle w:val="Heading1"/>
        <w:spacing w:before="240" w:after="240"/>
        <w:jc w:val="left"/>
        <w:spacing w:line="480" w:lineRule="auto"/>
      </w:pPr>
      <w:r>
        <w:rPr>
          <w:rFonts w:ascii="Times New Roman" w:hAnsi="Times New Roman"/>
          <w:b/>
          <w:sz w:val="24"/>
        </w:rPr>
        <w:t>CHAPTER 3: TECHNICAL IMPLEMENTATIONS AND PROJECTS</w:t>
      </w:r>
    </w:p>
    <w:p>
      <w:pPr>
        <w:pStyle w:val="Heading2"/>
        <w:spacing w:before="240" w:after="240"/>
        <w:jc w:val="left"/>
        <w:spacing w:line="480" w:lineRule="auto"/>
      </w:pPr>
      <w:r>
        <w:rPr>
          <w:rFonts w:ascii="Times New Roman" w:hAnsi="Times New Roman"/>
          <w:b/>
          <w:sz w:val="24"/>
        </w:rPr>
        <w:t>3.1 Payment Reconciliation System Development</w:t>
      </w:r>
    </w:p>
    <w:p>
      <w:pPr>
        <w:spacing w:after="0"/>
        <w:jc w:val="both"/>
        <w:spacing w:line="480" w:lineRule="auto"/>
      </w:pPr>
      <w:r>
        <w:rPr>
          <w:rFonts w:ascii="Times New Roman" w:hAnsi="Times New Roman"/>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pStyle w:val="Heading2"/>
        <w:spacing w:before="240" w:after="240"/>
        <w:jc w:val="left"/>
        <w:spacing w:line="480" w:lineRule="auto"/>
      </w:pPr>
      <w:r>
        <w:rPr>
          <w:rFonts w:ascii="Times New Roman" w:hAnsi="Times New Roman"/>
          <w:b/>
          <w:sz w:val="24"/>
        </w:rPr>
        <w:t>3.1.1 Problem Statement and Requirements</w:t>
      </w:r>
    </w:p>
    <w:p>
      <w:pPr>
        <w:spacing w:after="0"/>
        <w:jc w:val="both"/>
        <w:spacing w:line="480" w:lineRule="auto"/>
      </w:pPr>
      <w:r>
        <w:rPr>
          <w:rFonts w:ascii="Times New Roman" w:hAnsi="Times New Roman"/>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pStyle w:val="Heading2"/>
        <w:spacing w:before="240" w:after="240"/>
        <w:jc w:val="left"/>
        <w:spacing w:line="480" w:lineRule="auto"/>
      </w:pPr>
      <w:r>
        <w:rPr>
          <w:rFonts w:ascii="Times New Roman" w:hAnsi="Times New Roman"/>
          <w:b/>
          <w:sz w:val="24"/>
        </w:rPr>
        <w:t>3.1.2 System Design and Implementation</w:t>
      </w:r>
    </w:p>
    <w:p>
      <w:pPr>
        <w:spacing w:after="0"/>
        <w:jc w:val="both"/>
        <w:spacing w:line="480" w:lineRule="auto"/>
      </w:pPr>
      <w:r>
        <w:rPr>
          <w:rFonts w:ascii="Times New Roman" w:hAnsi="Times New Roman"/>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pStyle w:val="Heading2"/>
        <w:spacing w:before="240" w:after="240"/>
        <w:jc w:val="left"/>
        <w:spacing w:line="480" w:lineRule="auto"/>
      </w:pPr>
      <w:r>
        <w:rPr>
          <w:rFonts w:ascii="Times New Roman" w:hAnsi="Times New Roman"/>
          <w:b/>
          <w:sz w:val="24"/>
        </w:rPr>
        <w:t>3.1.3 Outcomes and Performance Metrics</w:t>
      </w:r>
    </w:p>
    <w:p>
      <w:pPr>
        <w:spacing w:after="0"/>
        <w:jc w:val="both"/>
        <w:spacing w:line="480" w:lineRule="auto"/>
      </w:pPr>
      <w:r>
        <w:rPr>
          <w:rFonts w:ascii="Times New Roman" w:hAnsi="Times New Roman"/>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pStyle w:val="Heading2"/>
        <w:spacing w:before="240" w:after="240"/>
        <w:jc w:val="left"/>
        <w:spacing w:line="480" w:lineRule="auto"/>
      </w:pPr>
      <w:r>
        <w:rPr>
          <w:rFonts w:ascii="Times New Roman" w:hAnsi="Times New Roman"/>
          <w:b/>
          <w:sz w:val="24"/>
        </w:rPr>
        <w:t>3.2 Analytics Dashboard Development</w:t>
      </w:r>
    </w:p>
    <w:p>
      <w:pPr>
        <w:spacing w:after="0"/>
        <w:jc w:val="both"/>
        <w:spacing w:line="480" w:lineRule="auto"/>
      </w:pPr>
      <w:r>
        <w:rPr>
          <w:rFonts w:ascii="Times New Roman" w:hAnsi="Times New Roman"/>
          <w:sz w:val="24"/>
        </w:rPr>
        <w:t>A comprehensive analytics and business intelligence dashboard was developed to provide real-time visibility into business metrics, customer behaviour, and operational performance.</w:t>
      </w:r>
    </w:p>
    <w:p>
      <w:pPr>
        <w:pStyle w:val="Heading2"/>
        <w:spacing w:before="240" w:after="240"/>
        <w:jc w:val="left"/>
        <w:spacing w:line="480" w:lineRule="auto"/>
      </w:pPr>
      <w:r>
        <w:rPr>
          <w:rFonts w:ascii="Times New Roman" w:hAnsi="Times New Roman"/>
          <w:b/>
          <w:sz w:val="24"/>
        </w:rPr>
        <w:t>3.2.1 Requirements and Design Approach</w:t>
      </w:r>
    </w:p>
    <w:p>
      <w:pPr>
        <w:spacing w:after="0"/>
        <w:jc w:val="both"/>
        <w:spacing w:line="480" w:lineRule="auto"/>
      </w:pPr>
      <w:r>
        <w:rPr>
          <w:rFonts w:ascii="Times New Roman" w:hAnsi="Times New Roman"/>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pStyle w:val="Heading2"/>
        <w:spacing w:before="240" w:after="240"/>
        <w:jc w:val="left"/>
        <w:spacing w:line="480" w:lineRule="auto"/>
      </w:pPr>
      <w:r>
        <w:rPr>
          <w:rFonts w:ascii="Times New Roman" w:hAnsi="Times New Roman"/>
          <w:b/>
          <w:sz w:val="24"/>
        </w:rPr>
        <w:t>3.2.2 Data Integration and ETL Pipeline</w:t>
      </w:r>
    </w:p>
    <w:p>
      <w:pPr>
        <w:spacing w:after="0"/>
        <w:jc w:val="both"/>
        <w:spacing w:line="480" w:lineRule="auto"/>
      </w:pPr>
      <w:r>
        <w:rPr>
          <w:rFonts w:ascii="Times New Roman" w:hAnsi="Times New Roman"/>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pStyle w:val="Heading2"/>
        <w:spacing w:before="240" w:after="240"/>
        <w:jc w:val="left"/>
        <w:spacing w:line="480" w:lineRule="auto"/>
      </w:pPr>
      <w:r>
        <w:rPr>
          <w:rFonts w:ascii="Times New Roman" w:hAnsi="Times New Roman"/>
          <w:b/>
          <w:sz w:val="24"/>
        </w:rPr>
        <w:t>3.2.3 Key Metrics and Insights</w:t>
      </w:r>
    </w:p>
    <w:p>
      <w:pPr>
        <w:spacing w:after="0"/>
        <w:jc w:val="both"/>
        <w:spacing w:line="480" w:lineRule="auto"/>
      </w:pPr>
      <w:r>
        <w:rPr>
          <w:rFonts w:ascii="Times New Roman" w:hAnsi="Times New Roman"/>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pStyle w:val="Heading2"/>
        <w:spacing w:before="240" w:after="240"/>
        <w:jc w:val="left"/>
        <w:spacing w:line="480" w:lineRule="auto"/>
      </w:pPr>
      <w:r>
        <w:rPr>
          <w:rFonts w:ascii="Times New Roman" w:hAnsi="Times New Roman"/>
          <w:b/>
          <w:sz w:val="24"/>
        </w:rPr>
        <w:t>3.3 Data Integration and ETL Pipeline Development</w:t>
      </w:r>
    </w:p>
    <w:p>
      <w:pPr>
        <w:spacing w:after="0"/>
        <w:jc w:val="both"/>
        <w:spacing w:line="480" w:lineRule="auto"/>
      </w:pPr>
      <w:r>
        <w:rPr>
          <w:rFonts w:ascii="Times New Roman" w:hAnsi="Times New Roman"/>
          <w:sz w:val="24"/>
        </w:rPr>
        <w:t>Beyond dashboard support, a comprehensive data integration infrastructure was developed enabling Lynia Finance to centralise diverse data sources and maintain a single source of truth for analytics.</w:t>
      </w:r>
    </w:p>
    <w:p>
      <w:pPr>
        <w:pStyle w:val="Heading2"/>
        <w:spacing w:before="240" w:after="240"/>
        <w:jc w:val="left"/>
        <w:spacing w:line="480" w:lineRule="auto"/>
      </w:pPr>
      <w:r>
        <w:rPr>
          <w:rFonts w:ascii="Times New Roman" w:hAnsi="Times New Roman"/>
          <w:b/>
          <w:sz w:val="24"/>
        </w:rPr>
        <w:t>3.3.1 Data Architecture and Source Integration</w:t>
      </w:r>
    </w:p>
    <w:p>
      <w:pPr>
        <w:spacing w:after="0"/>
        <w:jc w:val="both"/>
        <w:spacing w:line="480" w:lineRule="auto"/>
      </w:pPr>
      <w:r>
        <w:rPr>
          <w:rFonts w:ascii="Times New Roman" w:hAnsi="Times New Roman"/>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pStyle w:val="Heading2"/>
        <w:spacing w:before="240" w:after="240"/>
        <w:jc w:val="left"/>
        <w:spacing w:line="480" w:lineRule="auto"/>
      </w:pPr>
      <w:r>
        <w:rPr>
          <w:rFonts w:ascii="Times New Roman" w:hAnsi="Times New Roman"/>
          <w:b/>
          <w:sz w:val="24"/>
        </w:rPr>
        <w:t>3.3.2 Technical Skills Developed</w:t>
      </w:r>
    </w:p>
    <w:p>
      <w:pPr>
        <w:spacing w:after="0"/>
        <w:jc w:val="both"/>
        <w:spacing w:line="480" w:lineRule="auto"/>
      </w:pPr>
      <w:r>
        <w:rPr>
          <w:rFonts w:ascii="Times New Roman" w:hAnsi="Times New Roman"/>
          <w:sz w:val="24"/>
        </w:rPr>
        <w:t>This project development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r>
        <w:br w:type="page"/>
      </w:r>
    </w:p>
    <w:p>
      <w:pPr>
        <w:pStyle w:val="Heading1"/>
        <w:spacing w:before="240" w:after="240"/>
        <w:jc w:val="left"/>
        <w:spacing w:line="480" w:lineRule="auto"/>
      </w:pPr>
      <w:r>
        <w:rPr>
          <w:rFonts w:ascii="Times New Roman" w:hAnsi="Times New Roman"/>
          <w:b/>
          <w:sz w:val="24"/>
        </w:rPr>
        <w:t>CHAPTER 4: CONCLUSIONS AND DISCUSSIONS</w:t>
      </w:r>
    </w:p>
    <w:p>
      <w:pPr>
        <w:pStyle w:val="Heading2"/>
        <w:spacing w:before="240" w:after="240"/>
        <w:jc w:val="left"/>
        <w:spacing w:line="480" w:lineRule="auto"/>
      </w:pPr>
      <w:r>
        <w:rPr>
          <w:rFonts w:ascii="Times New Roman" w:hAnsi="Times New Roman"/>
          <w:b/>
          <w:sz w:val="24"/>
        </w:rPr>
        <w:t>4.1 Overall Experience and Key Learnings</w:t>
      </w:r>
    </w:p>
    <w:p>
      <w:pPr>
        <w:spacing w:after="0"/>
        <w:jc w:val="both"/>
        <w:spacing w:line="480" w:lineRule="auto"/>
      </w:pPr>
      <w:r>
        <w:rPr>
          <w:rFonts w:ascii="Times New Roman" w:hAnsi="Times New Roman"/>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pStyle w:val="Heading2"/>
        <w:spacing w:before="240" w:after="240"/>
        <w:jc w:val="left"/>
        <w:spacing w:line="480" w:lineRule="auto"/>
      </w:pPr>
      <w:r>
        <w:rPr>
          <w:rFonts w:ascii="Times New Roman" w:hAnsi="Times New Roman"/>
          <w:b/>
          <w:sz w:val="24"/>
        </w:rPr>
        <w:t>4.2 Observations on Working at Lynia Finance</w:t>
      </w:r>
    </w:p>
    <w:p>
      <w:pPr>
        <w:spacing w:after="0"/>
        <w:jc w:val="both"/>
        <w:spacing w:line="480" w:lineRule="auto"/>
      </w:pPr>
      <w:r>
        <w:rPr>
          <w:rFonts w:ascii="Times New Roman" w:hAnsi="Times New Roman"/>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pStyle w:val="Heading2"/>
        <w:spacing w:before="240" w:after="240"/>
        <w:jc w:val="left"/>
        <w:spacing w:line="480" w:lineRule="auto"/>
      </w:pPr>
      <w:r>
        <w:rPr>
          <w:rFonts w:ascii="Times New Roman" w:hAnsi="Times New Roman"/>
          <w:b/>
          <w:sz w:val="24"/>
        </w:rPr>
        <w:t>4.3 Recommended Improvements and Future Opportunities</w:t>
      </w:r>
    </w:p>
    <w:p>
      <w:pPr>
        <w:spacing w:after="0"/>
        <w:jc w:val="both"/>
        <w:spacing w:line="480" w:lineRule="auto"/>
      </w:pPr>
      <w:r>
        <w:rPr>
          <w:rFonts w:ascii="Times New Roman" w:hAnsi="Times New Roman"/>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pStyle w:val="Heading2"/>
        <w:spacing w:before="240" w:after="240"/>
        <w:jc w:val="left"/>
        <w:spacing w:line="480" w:lineRule="auto"/>
      </w:pPr>
      <w:r>
        <w:rPr>
          <w:rFonts w:ascii="Times New Roman" w:hAnsi="Times New Roman"/>
          <w:b/>
          <w:sz w:val="24"/>
        </w:rPr>
        <w:t>4.4 Suggested Improvements for the Industrial Attachment Program</w:t>
      </w:r>
    </w:p>
    <w:p>
      <w:pPr>
        <w:spacing w:after="0"/>
        <w:jc w:val="both"/>
        <w:spacing w:line="480" w:lineRule="auto"/>
      </w:pPr>
      <w:r>
        <w:rPr>
          <w:rFonts w:ascii="Times New Roman" w:hAnsi="Times New Roman"/>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(6 months) could identify gaps and adjust activities accordingly; (3) Integrated Coursework – Connecting attachment experience to relevant coursework modules could deepen understanding of both; (4) Structured Presentation – A final presentation requirement would develop professional communication skills and provide accountability; (5) Industry Liaison – Enhanced coordination between the University and industry partners could improve placements and ensure alignment with learning objectives; (6) Alumni Network – Maintaining connections between former students and their employers could create mentorship opportunities and career advancement; (7) Documentation Standards – Clear guidelines for report content and structure (as provided) ensure consistency and quality. These suggestions build on the existing strong program to make it even more valuable for students and employers.</w:t>
      </w:r>
    </w:p>
    <w:p>
      <w:pPr>
        <w:pStyle w:val="Heading2"/>
        <w:spacing w:before="240" w:after="240"/>
        <w:jc w:val="left"/>
        <w:spacing w:line="480" w:lineRule="auto"/>
      </w:pPr>
      <w:r>
        <w:rPr>
          <w:rFonts w:ascii="Times New Roman" w:hAnsi="Times New Roman"/>
          <w:b/>
          <w:sz w:val="24"/>
        </w:rPr>
        <w:t>4.5 Final Reflections</w:t>
      </w:r>
    </w:p>
    <w:p>
      <w:pPr>
        <w:spacing w:after="0"/>
        <w:jc w:val="both"/>
        <w:spacing w:line="480" w:lineRule="auto"/>
      </w:pPr>
      <w:r>
        <w:rPr>
          <w:rFonts w:ascii="Times New Roman" w:hAnsi="Times New Roman"/>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r>
        <w:br w:type="page"/>
      </w:r>
    </w:p>
    <w:p>
      <w:pPr>
        <w:pStyle w:val="Heading1"/>
        <w:spacing w:before="240" w:after="240"/>
        <w:jc w:val="left"/>
        <w:spacing w:line="480" w:lineRule="auto"/>
      </w:pPr>
      <w:r>
        <w:rPr>
          <w:rFonts w:ascii="Times New Roman" w:hAnsi="Times New Roman"/>
          <w:b/>
          <w:sz w:val="24"/>
        </w:rPr>
        <w:t>REFERENCES</w:t>
      </w:r>
    </w:p>
    <w:p>
      <w:pPr>
        <w:pStyle w:val="ListBullet"/>
        <w:ind w:left="720"/>
        <w:jc w:val="left"/>
        <w:spacing w:line="480" w:lineRule="auto"/>
      </w:pPr>
      <w:r>
        <w:rPr>
          <w:rFonts w:ascii="Times New Roman" w:hAnsi="Times New Roman"/>
          <w:sz w:val="24"/>
        </w:rPr>
        <w:t>Econet Wireless Zimbabwe (2024). EcoCash API Documentation. Harare: Econet Wireless Limited.</w:t>
      </w:r>
    </w:p>
    <w:p>
      <w:pPr>
        <w:pStyle w:val="ListBullet"/>
        <w:ind w:left="720"/>
        <w:jc w:val="left"/>
        <w:spacing w:line="480" w:lineRule="auto"/>
      </w:pPr>
      <w:r>
        <w:rPr>
          <w:rFonts w:ascii="Times New Roman" w:hAnsi="Times New Roman"/>
          <w:sz w:val="24"/>
        </w:rPr>
        <w:t>Innstrive (2024). InnBucks Integration Guide. Harare: Innstrive Limited.</w:t>
      </w:r>
    </w:p>
    <w:p>
      <w:pPr>
        <w:pStyle w:val="ListBullet"/>
        <w:ind w:left="720"/>
        <w:jc w:val="left"/>
        <w:spacing w:line="480" w:lineRule="auto"/>
      </w:pPr>
      <w:r>
        <w:rPr>
          <w:rFonts w:ascii="Times New Roman" w:hAnsi="Times New Roman"/>
          <w:sz w:val="24"/>
        </w:rPr>
        <w:t>Lynia Finance (2024). Internal Technical Documentation and System Architecture. Harare: Lynia Finance.</w:t>
      </w:r>
    </w:p>
    <w:p>
      <w:pPr>
        <w:pStyle w:val="ListBullet"/>
        <w:ind w:left="720"/>
        <w:jc w:val="left"/>
        <w:spacing w:line="480" w:lineRule="auto"/>
      </w:pPr>
      <w:r>
        <w:rPr>
          <w:rFonts w:ascii="Times New Roman" w:hAnsi="Times New Roman"/>
          <w:sz w:val="24"/>
        </w:rPr>
        <w:t>Reserve Bank of Zimbabwe (2023). Regulatory Framework for Microfinance Institutions. Harare: RBZ.</w:t>
      </w:r>
    </w:p>
    <w:p>
      <w:pPr>
        <w:pStyle w:val="ListBullet"/>
        <w:ind w:left="720"/>
        <w:jc w:val="left"/>
        <w:spacing w:line="480" w:lineRule="auto"/>
      </w:pPr>
      <w:r>
        <w:rPr>
          <w:rFonts w:ascii="Times New Roman" w:hAnsi="Times New Roman"/>
          <w:sz w:val="24"/>
        </w:rPr>
        <w:t>Chishti, S. &amp; Barberis, J. (2015). The FinTech Handbook: The Financial Technology Handbook for Investors, Entrepreneurs and Visionaries. Hoboken: Wiley.</w:t>
      </w:r>
    </w:p>
    <w:p>
      <w:pPr>
        <w:pStyle w:val="ListBullet"/>
        <w:ind w:left="720"/>
        <w:jc w:val="left"/>
        <w:spacing w:line="480" w:lineRule="auto"/>
      </w:pPr>
      <w:r>
        <w:rPr>
          <w:rFonts w:ascii="Times New Roman" w:hAnsi="Times New Roman"/>
          <w:sz w:val="24"/>
        </w:rPr>
        <w:t>Pepperstein, D. &amp; Matten, D. (2007). The corporate sustainability and financial performance nexus. Greener Management International, 54(1), 26-35.</w:t>
      </w:r>
    </w:p>
    <w:p>
      <w:pPr>
        <w:pStyle w:val="ListBullet"/>
        <w:ind w:left="720"/>
        <w:jc w:val="left"/>
        <w:spacing w:line="480" w:lineRule="auto"/>
      </w:pPr>
      <w:r>
        <w:rPr>
          <w:rFonts w:ascii="Times New Roman" w:hAnsi="Times New Roman"/>
          <w:sz w:val="24"/>
        </w:rPr>
        <w:t>Klonowski, D. (2007). The venture capital investment process in Central Europe: comparative perspectives. The Journal of Private Equity, 10(2), 22-33.</w:t>
      </w:r>
    </w:p>
    <w:p>
      <w:pPr>
        <w:pStyle w:val="ListBullet"/>
        <w:ind w:left="720"/>
        <w:jc w:val="left"/>
        <w:spacing w:line="480" w:lineRule="auto"/>
      </w:pPr>
      <w:r>
        <w:rPr>
          <w:rFonts w:ascii="Times New Roman" w:hAnsi="Times New Roman"/>
          <w:sz w:val="24"/>
        </w:rPr>
        <w:t>De Haan, J. &amp; Everaert, G. (2000). Financial liberalisation and monetary policy. Journal of Development Economics, 64(1), 19-42.</w:t>
      </w:r>
    </w:p>
    <w:p>
      <w:r>
        <w:br w:type="page"/>
      </w:r>
    </w:p>
    <w:p>
      <w:pPr>
        <w:pStyle w:val="Heading1"/>
        <w:spacing w:before="240" w:after="240"/>
        <w:jc w:val="left"/>
        <w:spacing w:line="480" w:lineRule="auto"/>
      </w:pPr>
      <w:r>
        <w:rPr>
          <w:rFonts w:ascii="Times New Roman" w:hAnsi="Times New Roman"/>
          <w:b/>
          <w:sz w:val="24"/>
        </w:rPr>
        <w:t>APPENDICES</w:t>
      </w:r>
    </w:p>
    <w:p>
      <w:pPr>
        <w:pStyle w:val="Heading2"/>
        <w:spacing w:before="240" w:after="240"/>
        <w:jc w:val="left"/>
        <w:spacing w:line="480" w:lineRule="auto"/>
      </w:pPr>
      <w:r>
        <w:rPr>
          <w:rFonts w:ascii="Times New Roman" w:hAnsi="Times New Roman"/>
          <w:b/>
          <w:sz w:val="24"/>
        </w:rPr>
        <w:t>APPENDIX A: EcoCash Integration Technical Specification</w:t>
      </w:r>
    </w:p>
    <w:p>
      <w:pPr>
        <w:spacing w:after="0"/>
        <w:jc w:val="both"/>
        <w:spacing w:line="480" w:lineRule="auto"/>
      </w:pPr>
      <w:r>
        <w:rPr>
          <w:rFonts w:ascii="Times New Roman" w:hAnsi="Times New Roman"/>
          <w:sz w:val="24"/>
        </w:rPr>
        <w:t>EcoCash API Integration Requirements:</w:t>
        <w:br/>
        <w:br/>
        <w:t>• API Endpoint: https://api.ecocash.co.zw/v2/transaction</w:t>
        <w:br/>
        <w:t>• Authentication Method: API Key +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Error Codes: Comprehensive documentation with 50+ specific error codes</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r>
        <w:br w:type="page"/>
      </w:r>
    </w:p>
    <w:p>
      <w:pPr>
        <w:pStyle w:val="Heading2"/>
        <w:spacing w:before="240" w:after="240"/>
        <w:jc w:val="left"/>
        <w:spacing w:line="480" w:lineRule="auto"/>
      </w:pPr>
      <w:r>
        <w:rPr>
          <w:rFonts w:ascii="Times New Roman" w:hAnsi="Times New Roman"/>
          <w:b/>
          <w:sz w:val="24"/>
        </w:rPr>
        <w:t>APPENDIX B: Data Analytics Dashboard Metrics Definition</w:t>
      </w:r>
    </w:p>
    <w:p>
      <w:pPr>
        <w:spacing w:after="0"/>
        <w:jc w:val="both"/>
        <w:spacing w:line="480" w:lineRule="auto"/>
      </w:pPr>
      <w:r>
        <w:rPr>
          <w:rFonts w:ascii="Times New Roman" w:hAnsi="Times New Roman"/>
          <w:sz w:val="24"/>
        </w:rPr>
        <w:t>Key Performance Indicators:</w:t>
        <w:br/>
        <w:br/>
        <w:t>1. Transaction Volume (Daily, Weekly, Monthly)</w:t>
        <w:br/>
        <w:t xml:space="preserve">   Definition: Total number of transactions processed</w:t>
        <w:br/>
        <w:t xml:space="preserve">   Measurement: Count of completed transactions</w:t>
        <w:br/>
        <w:t xml:space="preserve">   Frequency: Real-time updates</w:t>
        <w:br/>
        <w:br/>
        <w:t>2. Payment Success Rate</w:t>
        <w:br/>
        <w:t xml:space="preserve">   Definition: Percentage of transactions successfully completing</w:t>
        <w:br/>
        <w:t xml:space="preserve">   Calculation: (Successful Transactions / Total Attempted) × 100</w:t>
        <w:br/>
        <w:t xml:space="preserve">   Target: &gt;95%</w:t>
        <w:br/>
        <w:br/>
        <w:t>3. Average Transaction Amount</w:t>
        <w:br/>
        <w:t xml:space="preserve">   Definition: Mean value of transactions in USD</w:t>
        <w:br/>
        <w:t xml:space="preserve">   Measurement: Sum of transaction amounts / Number of transactions</w:t>
        <w:br/>
        <w:t xml:space="preserve">   Use: Understanding customer transaction patterns</w:t>
        <w:br/>
        <w:br/>
        <w:t>4. Customer Acquisition Rate</w:t>
        <w:br/>
        <w:t xml:space="preserve">   Definition: New customers registered monthly</w:t>
        <w:br/>
        <w:t xml:space="preserve">   Measurement: Count of new user registrations</w:t>
        <w:br/>
        <w:t xml:space="preserve">   Tracking: By source channel (organic, referral, marketing)</w:t>
        <w:br/>
        <w:br/>
        <w:t>5. Loan Repayment Rate</w:t>
        <w:br/>
        <w:t xml:space="preserve">   Definition: Percentage of loans repaid on time</w:t>
        <w:br/>
        <w:t xml:space="preserve">   Calculation: (On-time Repayments / Total Due Repayments) × 100</w:t>
        <w:br/>
        <w:t xml:space="preserve">   Target: &gt;85%</w:t>
        <w:br/>
        <w:br/>
        <w:t>6. Geographic Distribution</w:t>
        <w:br/>
        <w:t xml:space="preserve">   Definition: Transaction volume by region/district</w:t>
        <w:br/>
        <w:t xml:space="preserve">   Use: Identifying growth areas and market concentration</w:t>
      </w:r>
    </w:p>
    <w:sectPr w:rsidR="00FC693F" w:rsidRPr="0006063C" w:rsidSect="00034616">
      <w:footerReference w:type="default" r:id="rId9"/>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